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A9B61">
      <w:pPr>
        <w:spacing w:line="360" w:lineRule="auto"/>
        <w:jc w:val="center"/>
        <w:rPr>
          <w:b/>
          <w:sz w:val="24"/>
        </w:rPr>
      </w:pPr>
      <w:bookmarkStart w:id="5" w:name="_GoBack"/>
      <w:bookmarkEnd w:id="5"/>
      <w:bookmarkStart w:id="0" w:name="_Toc411426750"/>
      <w:r>
        <w:rPr>
          <w:b/>
          <w:sz w:val="24"/>
        </w:rPr>
        <w:t>项目需求书</w:t>
      </w:r>
    </w:p>
    <w:p w14:paraId="2715E100">
      <w:pPr>
        <w:spacing w:line="360" w:lineRule="auto"/>
        <w:ind w:firstLine="480" w:firstLineChars="200"/>
        <w:outlineLvl w:val="0"/>
        <w:rPr>
          <w:b/>
          <w:sz w:val="24"/>
        </w:rPr>
      </w:pPr>
      <w:r>
        <w:rPr>
          <w:rFonts w:hint="eastAsia"/>
          <w:color w:val="000000"/>
          <w:sz w:val="24"/>
        </w:rPr>
        <w:t>本项目属于工业，本项目需要采购电脑共242台。</w:t>
      </w:r>
    </w:p>
    <w:p w14:paraId="5AB476ED">
      <w:pPr>
        <w:pStyle w:val="7"/>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采购内容</w:t>
      </w:r>
    </w:p>
    <w:tbl>
      <w:tblPr>
        <w:tblStyle w:val="5"/>
        <w:tblW w:w="59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1950"/>
        <w:gridCol w:w="852"/>
        <w:gridCol w:w="706"/>
        <w:gridCol w:w="5836"/>
      </w:tblGrid>
      <w:tr w14:paraId="1CCB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02" w:type="pct"/>
            <w:tcBorders>
              <w:top w:val="single" w:color="auto" w:sz="4" w:space="0"/>
              <w:left w:val="single" w:color="auto" w:sz="4" w:space="0"/>
              <w:bottom w:val="single" w:color="auto" w:sz="4" w:space="0"/>
              <w:right w:val="single" w:color="auto" w:sz="4" w:space="0"/>
            </w:tcBorders>
            <w:noWrap w:val="0"/>
            <w:vAlign w:val="center"/>
          </w:tcPr>
          <w:p w14:paraId="4F07906E">
            <w:pPr>
              <w:widowControl/>
              <w:jc w:val="center"/>
              <w:rPr>
                <w:rFonts w:cs="宋体"/>
                <w:kern w:val="0"/>
                <w:sz w:val="24"/>
                <w:szCs w:val="24"/>
              </w:rPr>
            </w:pPr>
            <w:r>
              <w:rPr>
                <w:rFonts w:hint="eastAsia" w:cs="宋体"/>
                <w:kern w:val="0"/>
                <w:sz w:val="24"/>
              </w:rPr>
              <w:t>序号</w:t>
            </w:r>
          </w:p>
        </w:tc>
        <w:tc>
          <w:tcPr>
            <w:tcW w:w="959" w:type="pct"/>
            <w:tcBorders>
              <w:top w:val="single" w:color="auto" w:sz="4" w:space="0"/>
              <w:left w:val="single" w:color="auto" w:sz="4" w:space="0"/>
              <w:bottom w:val="single" w:color="auto" w:sz="4" w:space="0"/>
              <w:right w:val="single" w:color="auto" w:sz="4" w:space="0"/>
            </w:tcBorders>
            <w:noWrap w:val="0"/>
            <w:vAlign w:val="center"/>
          </w:tcPr>
          <w:p w14:paraId="179FC2C7">
            <w:pPr>
              <w:widowControl/>
              <w:jc w:val="center"/>
              <w:rPr>
                <w:rFonts w:cs="宋体"/>
                <w:kern w:val="0"/>
                <w:sz w:val="24"/>
                <w:szCs w:val="24"/>
              </w:rPr>
            </w:pPr>
            <w:r>
              <w:rPr>
                <w:rFonts w:hint="eastAsia" w:cs="宋体"/>
                <w:kern w:val="0"/>
                <w:sz w:val="24"/>
              </w:rPr>
              <w:t>标的名称</w:t>
            </w:r>
          </w:p>
        </w:tc>
        <w:tc>
          <w:tcPr>
            <w:tcW w:w="419" w:type="pct"/>
            <w:tcBorders>
              <w:top w:val="single" w:color="auto" w:sz="4" w:space="0"/>
              <w:left w:val="single" w:color="auto" w:sz="4" w:space="0"/>
              <w:bottom w:val="single" w:color="auto" w:sz="4" w:space="0"/>
              <w:right w:val="single" w:color="auto" w:sz="4" w:space="0"/>
            </w:tcBorders>
            <w:noWrap w:val="0"/>
            <w:vAlign w:val="center"/>
          </w:tcPr>
          <w:p w14:paraId="0EF16614">
            <w:pPr>
              <w:widowControl/>
              <w:jc w:val="center"/>
              <w:rPr>
                <w:rFonts w:cs="宋体"/>
                <w:kern w:val="0"/>
                <w:sz w:val="24"/>
                <w:szCs w:val="24"/>
              </w:rPr>
            </w:pPr>
            <w:r>
              <w:rPr>
                <w:rFonts w:hint="eastAsia" w:cs="宋体"/>
                <w:kern w:val="0"/>
                <w:sz w:val="24"/>
              </w:rPr>
              <w:t>数量</w:t>
            </w:r>
          </w:p>
        </w:tc>
        <w:tc>
          <w:tcPr>
            <w:tcW w:w="347" w:type="pct"/>
            <w:tcBorders>
              <w:top w:val="single" w:color="auto" w:sz="4" w:space="0"/>
              <w:left w:val="single" w:color="auto" w:sz="4" w:space="0"/>
              <w:bottom w:val="single" w:color="auto" w:sz="4" w:space="0"/>
              <w:right w:val="single" w:color="auto" w:sz="4" w:space="0"/>
            </w:tcBorders>
            <w:noWrap w:val="0"/>
            <w:vAlign w:val="center"/>
          </w:tcPr>
          <w:p w14:paraId="3B57AC53">
            <w:pPr>
              <w:widowControl/>
              <w:jc w:val="center"/>
              <w:rPr>
                <w:rFonts w:cs="宋体"/>
                <w:kern w:val="0"/>
                <w:sz w:val="24"/>
              </w:rPr>
            </w:pPr>
            <w:r>
              <w:rPr>
                <w:rFonts w:hint="eastAsia" w:cs="宋体"/>
                <w:kern w:val="0"/>
                <w:sz w:val="24"/>
              </w:rPr>
              <w:t>单位</w:t>
            </w:r>
          </w:p>
        </w:tc>
        <w:tc>
          <w:tcPr>
            <w:tcW w:w="2870" w:type="pct"/>
            <w:tcBorders>
              <w:top w:val="single" w:color="auto" w:sz="4" w:space="0"/>
              <w:left w:val="single" w:color="auto" w:sz="4" w:space="0"/>
              <w:bottom w:val="single" w:color="auto" w:sz="4" w:space="0"/>
              <w:right w:val="single" w:color="auto" w:sz="4" w:space="0"/>
            </w:tcBorders>
            <w:noWrap w:val="0"/>
            <w:vAlign w:val="center"/>
          </w:tcPr>
          <w:p w14:paraId="3BE615B1">
            <w:pPr>
              <w:widowControl/>
              <w:jc w:val="center"/>
              <w:rPr>
                <w:rFonts w:cs="宋体"/>
                <w:kern w:val="0"/>
                <w:sz w:val="24"/>
                <w:szCs w:val="24"/>
              </w:rPr>
            </w:pPr>
            <w:r>
              <w:rPr>
                <w:rFonts w:hint="eastAsia" w:cs="宋体"/>
                <w:kern w:val="0"/>
                <w:sz w:val="24"/>
              </w:rPr>
              <w:t>需求条款</w:t>
            </w:r>
          </w:p>
        </w:tc>
      </w:tr>
      <w:tr w14:paraId="297D5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tcBorders>
              <w:top w:val="single" w:color="auto" w:sz="4" w:space="0"/>
              <w:left w:val="single" w:color="auto" w:sz="4" w:space="0"/>
              <w:bottom w:val="single" w:color="auto" w:sz="4" w:space="0"/>
              <w:right w:val="single" w:color="auto" w:sz="4" w:space="0"/>
            </w:tcBorders>
            <w:noWrap w:val="0"/>
            <w:vAlign w:val="center"/>
          </w:tcPr>
          <w:p w14:paraId="5DB20DEF">
            <w:pPr>
              <w:widowControl/>
              <w:jc w:val="center"/>
              <w:rPr>
                <w:rFonts w:hint="eastAsia" w:eastAsia="宋体" w:cs="宋体"/>
                <w:kern w:val="0"/>
                <w:sz w:val="24"/>
                <w:szCs w:val="21"/>
                <w:lang w:val="en-US" w:eastAsia="zh-CN"/>
              </w:rPr>
            </w:pPr>
            <w:r>
              <w:rPr>
                <w:rFonts w:hint="eastAsia" w:cs="宋体"/>
                <w:kern w:val="0"/>
                <w:sz w:val="24"/>
                <w:szCs w:val="21"/>
              </w:rPr>
              <w:t>1</w:t>
            </w:r>
          </w:p>
        </w:tc>
        <w:tc>
          <w:tcPr>
            <w:tcW w:w="959" w:type="pct"/>
            <w:tcBorders>
              <w:top w:val="single" w:color="auto" w:sz="4" w:space="0"/>
              <w:left w:val="single" w:color="auto" w:sz="4" w:space="0"/>
              <w:bottom w:val="single" w:color="auto" w:sz="4" w:space="0"/>
              <w:right w:val="single" w:color="auto" w:sz="4" w:space="0"/>
            </w:tcBorders>
            <w:noWrap w:val="0"/>
            <w:vAlign w:val="center"/>
          </w:tcPr>
          <w:p w14:paraId="17C79689">
            <w:pPr>
              <w:widowControl/>
              <w:jc w:val="center"/>
              <w:rPr>
                <w:rFonts w:cs="宋体"/>
                <w:kern w:val="0"/>
                <w:sz w:val="24"/>
                <w:szCs w:val="21"/>
              </w:rPr>
            </w:pPr>
            <w:r>
              <w:rPr>
                <w:rFonts w:hint="eastAsia" w:ascii="仿宋_GB2312" w:eastAsia="仿宋_GB2312"/>
                <w:color w:val="000000"/>
                <w:sz w:val="24"/>
              </w:rPr>
              <w:t>▲</w:t>
            </w:r>
            <w:r>
              <w:rPr>
                <w:rFonts w:hint="eastAsia" w:cs="宋体"/>
                <w:kern w:val="0"/>
                <w:sz w:val="24"/>
                <w:szCs w:val="21"/>
              </w:rPr>
              <w:t>■台式计算机</w:t>
            </w:r>
          </w:p>
        </w:tc>
        <w:tc>
          <w:tcPr>
            <w:tcW w:w="419" w:type="pct"/>
            <w:tcBorders>
              <w:top w:val="single" w:color="auto" w:sz="4" w:space="0"/>
              <w:left w:val="single" w:color="auto" w:sz="4" w:space="0"/>
              <w:bottom w:val="single" w:color="auto" w:sz="4" w:space="0"/>
              <w:right w:val="single" w:color="auto" w:sz="4" w:space="0"/>
            </w:tcBorders>
            <w:noWrap w:val="0"/>
            <w:vAlign w:val="center"/>
          </w:tcPr>
          <w:p w14:paraId="50D7EAFE">
            <w:pPr>
              <w:jc w:val="center"/>
              <w:rPr>
                <w:rFonts w:hint="eastAsia" w:cs="宋体"/>
                <w:kern w:val="0"/>
                <w:sz w:val="24"/>
                <w:szCs w:val="21"/>
              </w:rPr>
            </w:pPr>
            <w:r>
              <w:rPr>
                <w:rFonts w:hint="eastAsia" w:cs="宋体"/>
                <w:kern w:val="0"/>
                <w:sz w:val="24"/>
                <w:szCs w:val="21"/>
              </w:rPr>
              <w:t>171</w:t>
            </w:r>
          </w:p>
        </w:tc>
        <w:tc>
          <w:tcPr>
            <w:tcW w:w="347" w:type="pct"/>
            <w:tcBorders>
              <w:top w:val="single" w:color="auto" w:sz="4" w:space="0"/>
              <w:left w:val="single" w:color="auto" w:sz="4" w:space="0"/>
              <w:bottom w:val="single" w:color="auto" w:sz="4" w:space="0"/>
              <w:right w:val="single" w:color="auto" w:sz="4" w:space="0"/>
            </w:tcBorders>
            <w:noWrap w:val="0"/>
            <w:vAlign w:val="center"/>
          </w:tcPr>
          <w:p w14:paraId="47E66EF2">
            <w:pPr>
              <w:jc w:val="center"/>
              <w:rPr>
                <w:color w:val="000000"/>
                <w:sz w:val="24"/>
                <w:szCs w:val="21"/>
              </w:rPr>
            </w:pPr>
            <w:r>
              <w:rPr>
                <w:color w:val="000000"/>
                <w:sz w:val="24"/>
                <w:szCs w:val="21"/>
              </w:rPr>
              <w:t>台</w:t>
            </w:r>
          </w:p>
        </w:tc>
        <w:tc>
          <w:tcPr>
            <w:tcW w:w="2870" w:type="pct"/>
            <w:tcBorders>
              <w:top w:val="single" w:color="auto" w:sz="4" w:space="0"/>
              <w:left w:val="single" w:color="auto" w:sz="4" w:space="0"/>
              <w:bottom w:val="single" w:color="auto" w:sz="4" w:space="0"/>
              <w:right w:val="single" w:color="auto" w:sz="4" w:space="0"/>
            </w:tcBorders>
            <w:noWrap w:val="0"/>
            <w:vAlign w:val="center"/>
          </w:tcPr>
          <w:p w14:paraId="3BA2891D">
            <w:pPr>
              <w:rPr>
                <w:rFonts w:hint="default" w:eastAsia="宋体"/>
                <w:color w:val="000000"/>
                <w:sz w:val="24"/>
                <w:szCs w:val="21"/>
                <w:lang w:val="en-US" w:eastAsia="zh-CN"/>
              </w:rPr>
            </w:pPr>
            <w:r>
              <w:rPr>
                <w:rFonts w:hint="eastAsia"/>
                <w:color w:val="000000"/>
                <w:sz w:val="24"/>
                <w:szCs w:val="21"/>
              </w:rPr>
              <w:t>主机：</w:t>
            </w:r>
          </w:p>
          <w:p w14:paraId="3F24204B">
            <w:pPr>
              <w:rPr>
                <w:color w:val="000000"/>
                <w:sz w:val="24"/>
                <w:szCs w:val="21"/>
              </w:rPr>
            </w:pPr>
            <w:r>
              <w:rPr>
                <w:rFonts w:hint="eastAsia"/>
                <w:color w:val="000000"/>
                <w:sz w:val="24"/>
                <w:szCs w:val="21"/>
              </w:rPr>
              <w:t>★1.CPU信息，支持C86和X86构架， 最大主频≥2.7GHz，核数≥8核，2级缓存≥8MB；CPU符合国家安全可靠测评要求，在中国信息安全测评中心和国家保密科技测评中心网站等官方渠道可查看安全可靠测评结果。</w:t>
            </w:r>
          </w:p>
          <w:p w14:paraId="60E06F63">
            <w:pPr>
              <w:rPr>
                <w:color w:val="000000"/>
                <w:sz w:val="24"/>
                <w:szCs w:val="21"/>
              </w:rPr>
            </w:pPr>
            <w:r>
              <w:rPr>
                <w:rFonts w:hint="eastAsia"/>
                <w:color w:val="000000"/>
                <w:sz w:val="24"/>
                <w:szCs w:val="21"/>
              </w:rPr>
              <w:t>★2.</w:t>
            </w:r>
            <w:r>
              <w:rPr>
                <w:rFonts w:hint="eastAsia" w:ascii="宋体" w:hAnsi="宋体" w:cs="宋体"/>
                <w:color w:val="000000"/>
                <w:kern w:val="0"/>
                <w:sz w:val="24"/>
                <w:szCs w:val="24"/>
              </w:rPr>
              <w:t>内存配置容量</w:t>
            </w:r>
            <w:r>
              <w:rPr>
                <w:rFonts w:hint="eastAsia"/>
                <w:color w:val="000000"/>
                <w:sz w:val="24"/>
                <w:szCs w:val="21"/>
              </w:rPr>
              <w:t>≥16GB；</w:t>
            </w:r>
          </w:p>
          <w:p w14:paraId="37AC87C3">
            <w:pPr>
              <w:rPr>
                <w:rFonts w:hint="eastAsia" w:eastAsia="宋体"/>
                <w:color w:val="000000"/>
                <w:sz w:val="24"/>
                <w:szCs w:val="21"/>
                <w:highlight w:val="yellow"/>
                <w:lang w:eastAsia="zh-CN"/>
              </w:rPr>
            </w:pPr>
            <w:r>
              <w:rPr>
                <w:rFonts w:hint="eastAsia"/>
                <w:color w:val="000000"/>
                <w:sz w:val="24"/>
                <w:szCs w:val="21"/>
              </w:rPr>
              <w:t>★3.主板支持的CPU和内存情况 1颗处理器</w:t>
            </w:r>
          </w:p>
          <w:p w14:paraId="5E19C80D">
            <w:pPr>
              <w:rPr>
                <w:color w:val="000000"/>
                <w:sz w:val="24"/>
                <w:szCs w:val="21"/>
              </w:rPr>
            </w:pPr>
            <w:r>
              <w:rPr>
                <w:rFonts w:hint="eastAsia"/>
                <w:color w:val="000000"/>
                <w:sz w:val="24"/>
                <w:szCs w:val="21"/>
              </w:rPr>
              <w:t>★4 .主板其他内置接口 ≥1个M.2 SSD接口</w:t>
            </w:r>
          </w:p>
          <w:p w14:paraId="3A6983DF">
            <w:pPr>
              <w:rPr>
                <w:color w:val="000000"/>
                <w:sz w:val="24"/>
                <w:szCs w:val="21"/>
              </w:rPr>
            </w:pPr>
            <w:r>
              <w:rPr>
                <w:rFonts w:hint="eastAsia"/>
                <w:color w:val="000000"/>
                <w:sz w:val="24"/>
                <w:szCs w:val="21"/>
              </w:rPr>
              <w:t>≥2个SATA3.0接口</w:t>
            </w:r>
          </w:p>
          <w:p w14:paraId="6B5B06E3">
            <w:pPr>
              <w:rPr>
                <w:color w:val="000000"/>
                <w:sz w:val="24"/>
                <w:szCs w:val="21"/>
              </w:rPr>
            </w:pPr>
            <w:r>
              <w:rPr>
                <w:rFonts w:hint="eastAsia"/>
                <w:color w:val="000000"/>
                <w:sz w:val="24"/>
                <w:szCs w:val="21"/>
              </w:rPr>
              <w:t>★5单内存插槽最大可支持容量 ≥16GB</w:t>
            </w:r>
          </w:p>
          <w:p w14:paraId="51A83456">
            <w:pPr>
              <w:rPr>
                <w:color w:val="000000"/>
                <w:sz w:val="24"/>
                <w:szCs w:val="21"/>
              </w:rPr>
            </w:pPr>
            <w:r>
              <w:rPr>
                <w:rFonts w:hint="eastAsia"/>
                <w:color w:val="000000"/>
                <w:sz w:val="24"/>
                <w:szCs w:val="21"/>
              </w:rPr>
              <w:t>★6.内存插槽满配时提供的最高内存总容量 ≥32GB</w:t>
            </w:r>
          </w:p>
          <w:p w14:paraId="1539C41D">
            <w:pPr>
              <w:rPr>
                <w:rFonts w:hint="eastAsia"/>
                <w:color w:val="000000"/>
                <w:sz w:val="24"/>
                <w:szCs w:val="21"/>
              </w:rPr>
            </w:pPr>
            <w:r>
              <w:rPr>
                <w:rFonts w:hint="eastAsia"/>
                <w:color w:val="000000"/>
                <w:sz w:val="24"/>
                <w:szCs w:val="21"/>
              </w:rPr>
              <w:t>★7.</w:t>
            </w:r>
            <w:r>
              <w:rPr>
                <w:rFonts w:hint="eastAsia"/>
                <w:color w:val="000000"/>
                <w:sz w:val="24"/>
                <w:szCs w:val="21"/>
                <w:lang w:val="en-US" w:eastAsia="zh-CN"/>
              </w:rPr>
              <w:t>内存条数量=1</w:t>
            </w:r>
          </w:p>
          <w:p w14:paraId="6894FC92">
            <w:pPr>
              <w:rPr>
                <w:rFonts w:hint="eastAsia"/>
                <w:color w:val="000000"/>
                <w:sz w:val="24"/>
                <w:szCs w:val="21"/>
                <w:lang w:val="en-US" w:eastAsia="zh-CN"/>
              </w:rPr>
            </w:pPr>
            <w:r>
              <w:rPr>
                <w:rFonts w:hint="eastAsia"/>
                <w:color w:val="000000"/>
                <w:sz w:val="24"/>
                <w:szCs w:val="21"/>
              </w:rPr>
              <w:t>★</w:t>
            </w:r>
            <w:r>
              <w:rPr>
                <w:rFonts w:hint="eastAsia"/>
                <w:color w:val="000000"/>
                <w:sz w:val="24"/>
                <w:szCs w:val="21"/>
                <w:lang w:val="en-US" w:eastAsia="zh-CN"/>
              </w:rPr>
              <w:t>8.硬盘：固态硬盘</w:t>
            </w:r>
            <w:r>
              <w:rPr>
                <w:rFonts w:hint="eastAsia"/>
                <w:strike w:val="0"/>
                <w:dstrike w:val="0"/>
                <w:color w:val="000000"/>
                <w:sz w:val="24"/>
                <w:szCs w:val="21"/>
                <w:highlight w:val="none"/>
              </w:rPr>
              <w:t>≥1</w:t>
            </w:r>
          </w:p>
          <w:p w14:paraId="65B3FD8A">
            <w:pPr>
              <w:rPr>
                <w:rFonts w:hint="default"/>
                <w:color w:val="000000"/>
                <w:sz w:val="24"/>
                <w:szCs w:val="21"/>
                <w:lang w:val="en-US" w:eastAsia="zh-CN"/>
              </w:rPr>
            </w:pPr>
            <w:r>
              <w:rPr>
                <w:rFonts w:hint="eastAsia"/>
                <w:color w:val="000000"/>
                <w:sz w:val="24"/>
                <w:szCs w:val="21"/>
              </w:rPr>
              <w:t>★</w:t>
            </w:r>
            <w:r>
              <w:rPr>
                <w:rFonts w:hint="eastAsia"/>
                <w:color w:val="000000"/>
                <w:sz w:val="24"/>
                <w:szCs w:val="21"/>
                <w:lang w:val="en-US" w:eastAsia="zh-CN"/>
              </w:rPr>
              <w:t>9.固态存储容量 ≥512G</w:t>
            </w:r>
          </w:p>
          <w:p w14:paraId="67BE1CF5">
            <w:pPr>
              <w:rPr>
                <w:rFonts w:hint="eastAsia"/>
                <w:color w:val="000000"/>
                <w:sz w:val="24"/>
                <w:szCs w:val="21"/>
                <w:lang w:val="en-US" w:eastAsia="zh-CN"/>
              </w:rPr>
            </w:pPr>
            <w:r>
              <w:rPr>
                <w:rFonts w:hint="eastAsia"/>
                <w:color w:val="000000"/>
                <w:sz w:val="24"/>
                <w:szCs w:val="21"/>
              </w:rPr>
              <w:t>★</w:t>
            </w:r>
            <w:r>
              <w:rPr>
                <w:rFonts w:hint="eastAsia"/>
                <w:color w:val="000000"/>
                <w:sz w:val="24"/>
                <w:szCs w:val="21"/>
                <w:lang w:val="en-US" w:eastAsia="zh-CN"/>
              </w:rPr>
              <w:t>10.固态硬盘在长期断电，温度40度以下，数据保存时间不低于3年。履约后6年内固态硬盘出现数据丢失时提供免费数据恢复服务。</w:t>
            </w:r>
          </w:p>
          <w:p w14:paraId="01BB6C18">
            <w:pPr>
              <w:rPr>
                <w:rFonts w:hint="eastAsia"/>
                <w:color w:val="000000"/>
                <w:sz w:val="24"/>
                <w:szCs w:val="21"/>
                <w:lang w:val="en-US" w:eastAsia="zh-CN"/>
              </w:rPr>
            </w:pPr>
            <w:r>
              <w:rPr>
                <w:rFonts w:hint="eastAsia"/>
                <w:color w:val="000000"/>
                <w:sz w:val="24"/>
                <w:szCs w:val="21"/>
                <w:lang w:val="en-US" w:eastAsia="zh-CN"/>
              </w:rPr>
              <w:t>★11.</w:t>
            </w:r>
            <w:r>
              <w:rPr>
                <w:rFonts w:hint="eastAsia"/>
                <w:strike w:val="0"/>
                <w:dstrike w:val="0"/>
                <w:color w:val="000000"/>
                <w:sz w:val="24"/>
                <w:szCs w:val="21"/>
                <w:highlight w:val="none"/>
              </w:rPr>
              <w:t>固态存储接口协议 SATA/PCIe/NVMe 等类型接口协议</w:t>
            </w:r>
            <w:r>
              <w:rPr>
                <w:rFonts w:hint="eastAsia"/>
                <w:strike w:val="0"/>
                <w:dstrike w:val="0"/>
                <w:color w:val="000000"/>
                <w:sz w:val="24"/>
                <w:szCs w:val="21"/>
                <w:highlight w:val="none"/>
                <w:lang w:val="en-US" w:eastAsia="zh-CN"/>
              </w:rPr>
              <w:t xml:space="preserve"> </w:t>
            </w:r>
          </w:p>
          <w:p w14:paraId="6F187552">
            <w:pPr>
              <w:rPr>
                <w:rFonts w:hint="eastAsia"/>
                <w:strike w:val="0"/>
                <w:dstrike w:val="0"/>
                <w:color w:val="000000"/>
                <w:sz w:val="24"/>
                <w:szCs w:val="21"/>
                <w:highlight w:val="none"/>
                <w:lang w:val="en-US" w:eastAsia="zh-CN"/>
              </w:rPr>
            </w:pPr>
            <w:r>
              <w:rPr>
                <w:rFonts w:hint="eastAsia"/>
                <w:color w:val="000000"/>
                <w:sz w:val="24"/>
                <w:szCs w:val="21"/>
              </w:rPr>
              <w:t>★</w:t>
            </w:r>
            <w:r>
              <w:rPr>
                <w:rFonts w:hint="eastAsia"/>
                <w:strike w:val="0"/>
                <w:dstrike w:val="0"/>
                <w:color w:val="000000"/>
                <w:sz w:val="24"/>
                <w:szCs w:val="21"/>
                <w:highlight w:val="none"/>
              </w:rPr>
              <w:t>1</w:t>
            </w:r>
            <w:r>
              <w:rPr>
                <w:rFonts w:hint="eastAsia"/>
                <w:strike w:val="0"/>
                <w:dstrike w:val="0"/>
                <w:color w:val="000000"/>
                <w:sz w:val="24"/>
                <w:szCs w:val="21"/>
                <w:highlight w:val="none"/>
                <w:lang w:val="en-US" w:eastAsia="zh-CN"/>
              </w:rPr>
              <w:t>2</w:t>
            </w:r>
            <w:r>
              <w:rPr>
                <w:rFonts w:hint="eastAsia"/>
                <w:strike w:val="0"/>
                <w:dstrike w:val="0"/>
                <w:color w:val="000000"/>
                <w:sz w:val="24"/>
                <w:szCs w:val="21"/>
                <w:highlight w:val="none"/>
              </w:rPr>
              <w:t>.存储设备扩展盘位 ≥1</w:t>
            </w:r>
            <w:r>
              <w:rPr>
                <w:rFonts w:hint="eastAsia"/>
                <w:strike w:val="0"/>
                <w:dstrike w:val="0"/>
                <w:color w:val="000000"/>
                <w:sz w:val="24"/>
                <w:szCs w:val="21"/>
                <w:highlight w:val="none"/>
                <w:lang w:val="en-US" w:eastAsia="zh-CN"/>
              </w:rPr>
              <w:t xml:space="preserve"> </w:t>
            </w:r>
          </w:p>
          <w:p w14:paraId="1F3F46B3">
            <w:pPr>
              <w:rPr>
                <w:color w:val="000000"/>
                <w:sz w:val="24"/>
                <w:szCs w:val="21"/>
              </w:rPr>
            </w:pPr>
            <w:r>
              <w:rPr>
                <w:rFonts w:hint="eastAsia"/>
                <w:color w:val="000000"/>
                <w:sz w:val="24"/>
                <w:szCs w:val="21"/>
              </w:rPr>
              <w:t>★1</w:t>
            </w:r>
            <w:r>
              <w:rPr>
                <w:rFonts w:hint="eastAsia"/>
                <w:color w:val="000000"/>
                <w:sz w:val="24"/>
                <w:szCs w:val="21"/>
                <w:lang w:val="en-US" w:eastAsia="zh-CN"/>
              </w:rPr>
              <w:t>3</w:t>
            </w:r>
            <w:r>
              <w:rPr>
                <w:rFonts w:hint="eastAsia"/>
                <w:color w:val="000000"/>
                <w:sz w:val="24"/>
                <w:szCs w:val="21"/>
              </w:rPr>
              <w:t>.显卡类型 独立显卡</w:t>
            </w:r>
          </w:p>
          <w:p w14:paraId="2BB24075">
            <w:pPr>
              <w:rPr>
                <w:rFonts w:hint="eastAsia" w:eastAsia="宋体"/>
                <w:color w:val="000000"/>
                <w:sz w:val="24"/>
                <w:szCs w:val="21"/>
                <w:lang w:val="en-US" w:eastAsia="zh-CN"/>
              </w:rPr>
            </w:pPr>
            <w:r>
              <w:rPr>
                <w:rFonts w:hint="eastAsia"/>
                <w:color w:val="000000"/>
                <w:sz w:val="24"/>
                <w:szCs w:val="21"/>
              </w:rPr>
              <w:t>★1</w:t>
            </w:r>
            <w:r>
              <w:rPr>
                <w:rFonts w:hint="eastAsia"/>
                <w:color w:val="000000"/>
                <w:sz w:val="24"/>
                <w:szCs w:val="21"/>
                <w:lang w:val="en-US" w:eastAsia="zh-CN"/>
              </w:rPr>
              <w:t>4</w:t>
            </w:r>
            <w:r>
              <w:rPr>
                <w:rFonts w:hint="eastAsia"/>
                <w:color w:val="000000"/>
                <w:sz w:val="24"/>
                <w:szCs w:val="21"/>
              </w:rPr>
              <w:t>.</w:t>
            </w:r>
            <w:r>
              <w:rPr>
                <w:rFonts w:hint="eastAsia" w:ascii="宋体" w:hAnsi="宋体" w:cs="宋体"/>
                <w:color w:val="000000"/>
                <w:kern w:val="0"/>
                <w:sz w:val="24"/>
                <w:szCs w:val="24"/>
              </w:rPr>
              <w:t xml:space="preserve">独立显卡显存容量 </w:t>
            </w:r>
            <w:r>
              <w:rPr>
                <w:rFonts w:hint="eastAsia"/>
                <w:color w:val="000000"/>
                <w:sz w:val="24"/>
                <w:szCs w:val="21"/>
              </w:rPr>
              <w:t>≥2G</w:t>
            </w:r>
          </w:p>
          <w:p w14:paraId="3CB3EFE4">
            <w:pPr>
              <w:rPr>
                <w:color w:val="000000"/>
                <w:sz w:val="24"/>
                <w:szCs w:val="21"/>
              </w:rPr>
            </w:pPr>
            <w:r>
              <w:rPr>
                <w:rFonts w:hint="eastAsia"/>
                <w:color w:val="000000"/>
                <w:sz w:val="24"/>
                <w:szCs w:val="21"/>
              </w:rPr>
              <w:t>★1</w:t>
            </w:r>
            <w:r>
              <w:rPr>
                <w:rFonts w:hint="eastAsia"/>
                <w:color w:val="000000"/>
                <w:sz w:val="24"/>
                <w:szCs w:val="21"/>
                <w:lang w:val="en-US" w:eastAsia="zh-CN"/>
              </w:rPr>
              <w:t>5</w:t>
            </w:r>
            <w:r>
              <w:rPr>
                <w:rFonts w:hint="eastAsia"/>
                <w:color w:val="000000"/>
                <w:sz w:val="24"/>
                <w:szCs w:val="21"/>
              </w:rPr>
              <w:t>.音频接口数量 提供前置2个音频接口，后置3个音频接口</w:t>
            </w:r>
          </w:p>
          <w:p w14:paraId="38BC975A">
            <w:pPr>
              <w:rPr>
                <w:color w:val="000000"/>
                <w:sz w:val="24"/>
                <w:szCs w:val="21"/>
              </w:rPr>
            </w:pPr>
            <w:r>
              <w:rPr>
                <w:rFonts w:hint="eastAsia"/>
                <w:color w:val="000000"/>
                <w:sz w:val="24"/>
                <w:szCs w:val="21"/>
              </w:rPr>
              <w:t>★</w:t>
            </w:r>
            <w:r>
              <w:rPr>
                <w:rFonts w:hint="eastAsia"/>
                <w:color w:val="000000"/>
                <w:sz w:val="24"/>
                <w:szCs w:val="21"/>
                <w:lang w:val="en-US" w:eastAsia="zh-CN"/>
              </w:rPr>
              <w:t>16</w:t>
            </w:r>
            <w:r>
              <w:rPr>
                <w:rFonts w:hint="eastAsia"/>
                <w:color w:val="000000"/>
                <w:sz w:val="24"/>
                <w:szCs w:val="21"/>
              </w:rPr>
              <w:t>.CPU支持的内存最高速率 ≥3200MT/s</w:t>
            </w:r>
          </w:p>
          <w:p w14:paraId="3887908B">
            <w:pPr>
              <w:rPr>
                <w:rFonts w:hint="eastAsia"/>
                <w:color w:val="000000"/>
                <w:sz w:val="24"/>
                <w:szCs w:val="21"/>
              </w:rPr>
            </w:pPr>
            <w:r>
              <w:rPr>
                <w:rFonts w:hint="eastAsia"/>
                <w:color w:val="000000"/>
                <w:sz w:val="24"/>
                <w:szCs w:val="21"/>
              </w:rPr>
              <w:t>★</w:t>
            </w:r>
            <w:r>
              <w:rPr>
                <w:rFonts w:hint="eastAsia"/>
                <w:color w:val="000000"/>
                <w:sz w:val="24"/>
                <w:szCs w:val="21"/>
                <w:lang w:val="en-US" w:eastAsia="zh-CN"/>
              </w:rPr>
              <w:t>17</w:t>
            </w:r>
            <w:r>
              <w:rPr>
                <w:rFonts w:hint="eastAsia"/>
                <w:color w:val="000000"/>
                <w:sz w:val="24"/>
                <w:szCs w:val="21"/>
              </w:rPr>
              <w:t>.内存读写速率 ≥3200MT/s</w:t>
            </w:r>
          </w:p>
          <w:p w14:paraId="6729812D">
            <w:pPr>
              <w:rPr>
                <w:rFonts w:hint="eastAsia"/>
                <w:color w:val="000000"/>
                <w:sz w:val="24"/>
                <w:szCs w:val="21"/>
              </w:rPr>
            </w:pPr>
            <w:r>
              <w:rPr>
                <w:rFonts w:hint="eastAsia" w:ascii="宋体" w:hAnsi="宋体" w:cs="宋体"/>
                <w:color w:val="000000"/>
                <w:kern w:val="0"/>
                <w:sz w:val="24"/>
                <w:szCs w:val="24"/>
              </w:rPr>
              <w:t>★</w:t>
            </w:r>
            <w:r>
              <w:rPr>
                <w:rFonts w:hint="eastAsia"/>
                <w:color w:val="000000"/>
                <w:sz w:val="24"/>
                <w:szCs w:val="21"/>
                <w:lang w:val="en-US" w:eastAsia="zh-CN"/>
              </w:rPr>
              <w:t>18</w:t>
            </w:r>
            <w:r>
              <w:rPr>
                <w:rFonts w:hint="eastAsia" w:ascii="宋体" w:hAnsi="宋体" w:cs="宋体"/>
                <w:color w:val="000000"/>
                <w:kern w:val="0"/>
                <w:sz w:val="24"/>
                <w:szCs w:val="24"/>
              </w:rPr>
              <w:t>.</w:t>
            </w:r>
            <w:r>
              <w:rPr>
                <w:rFonts w:hint="eastAsia"/>
                <w:color w:val="000000"/>
                <w:sz w:val="24"/>
                <w:szCs w:val="21"/>
              </w:rPr>
              <w:t>.</w:t>
            </w:r>
            <w:r>
              <w:rPr>
                <w:rFonts w:hint="eastAsia" w:ascii="宋体" w:hAnsi="宋体" w:cs="宋体"/>
                <w:color w:val="000000"/>
                <w:kern w:val="0"/>
                <w:sz w:val="24"/>
                <w:szCs w:val="24"/>
              </w:rPr>
              <w:t>内置光驱 ≥1</w:t>
            </w:r>
          </w:p>
          <w:p w14:paraId="0A1B3C4A">
            <w:pPr>
              <w:rPr>
                <w:rFonts w:hint="eastAsia"/>
                <w:color w:val="000000"/>
                <w:sz w:val="24"/>
                <w:szCs w:val="21"/>
              </w:rPr>
            </w:pPr>
            <w:r>
              <w:rPr>
                <w:rFonts w:hint="eastAsia"/>
                <w:color w:val="000000" w:themeColor="text1"/>
                <w:sz w:val="24"/>
                <w:szCs w:val="21"/>
                <w14:textFill>
                  <w14:solidFill>
                    <w14:schemeClr w14:val="tx1"/>
                  </w14:solidFill>
                </w14:textFill>
              </w:rPr>
              <w:t>★</w:t>
            </w:r>
            <w:r>
              <w:rPr>
                <w:rFonts w:hint="eastAsia"/>
                <w:color w:val="000000" w:themeColor="text1"/>
                <w:sz w:val="24"/>
                <w:szCs w:val="21"/>
                <w:lang w:val="en-US" w:eastAsia="zh-CN"/>
                <w14:textFill>
                  <w14:solidFill>
                    <w14:schemeClr w14:val="tx1"/>
                  </w14:solidFill>
                </w14:textFill>
              </w:rPr>
              <w:t>19</w:t>
            </w:r>
            <w:r>
              <w:rPr>
                <w:rFonts w:hint="eastAsia"/>
                <w:color w:val="000000"/>
                <w:sz w:val="24"/>
                <w:szCs w:val="21"/>
              </w:rPr>
              <w:t>.预装操作系统 预装桌面操作系统，为满足政府采购需求标准要求《操作系统政府采购需求标准(2023年版)》。</w:t>
            </w:r>
          </w:p>
          <w:p w14:paraId="363DD024">
            <w:pPr>
              <w:rPr>
                <w:rFonts w:hint="eastAsia"/>
                <w:color w:val="000000"/>
                <w:sz w:val="24"/>
                <w:szCs w:val="21"/>
              </w:rPr>
            </w:pPr>
            <w:r>
              <w:rPr>
                <w:rFonts w:hint="eastAsia"/>
                <w:color w:val="000000"/>
                <w:sz w:val="24"/>
                <w:szCs w:val="21"/>
              </w:rPr>
              <w:t>★</w:t>
            </w:r>
            <w:r>
              <w:rPr>
                <w:rFonts w:hint="eastAsia"/>
                <w:color w:val="000000"/>
                <w:sz w:val="24"/>
                <w:szCs w:val="21"/>
                <w:lang w:val="en-US" w:eastAsia="zh-CN"/>
              </w:rPr>
              <w:t>20</w:t>
            </w:r>
            <w:r>
              <w:rPr>
                <w:rFonts w:hint="eastAsia"/>
                <w:color w:val="000000"/>
                <w:sz w:val="24"/>
                <w:szCs w:val="21"/>
              </w:rPr>
              <w:t>.服务响应 a)供应商提供电话、电子邮件、远程连接等多种形式服务；</w:t>
            </w:r>
          </w:p>
          <w:p w14:paraId="10B2BA6C">
            <w:pPr>
              <w:rPr>
                <w:rFonts w:hint="eastAsia"/>
                <w:color w:val="000000"/>
                <w:sz w:val="24"/>
                <w:szCs w:val="21"/>
              </w:rPr>
            </w:pPr>
            <w:r>
              <w:rPr>
                <w:rFonts w:hint="eastAsia"/>
                <w:color w:val="000000"/>
                <w:sz w:val="24"/>
                <w:szCs w:val="21"/>
              </w:rPr>
              <w:t>b)供应商提供同城 4h、异地 12h 技术响应服务，24小时解决问题，对于未能解决的问题和故障应提供可行的升级方案，并提供周转设备或更换设备；</w:t>
            </w:r>
          </w:p>
          <w:p w14:paraId="47E6C4F0">
            <w:pPr>
              <w:rPr>
                <w:rFonts w:hint="eastAsia"/>
                <w:color w:val="000000"/>
                <w:sz w:val="24"/>
                <w:szCs w:val="21"/>
              </w:rPr>
            </w:pPr>
            <w:r>
              <w:rPr>
                <w:rFonts w:hint="eastAsia"/>
                <w:color w:val="000000"/>
                <w:sz w:val="24"/>
                <w:szCs w:val="21"/>
              </w:rPr>
              <w:t>c)建立全国技术服务体系和服务团体，符合专业服务体系标准要求，提供原厂中文服务；</w:t>
            </w:r>
          </w:p>
          <w:p w14:paraId="7A7D9F46">
            <w:pPr>
              <w:rPr>
                <w:rFonts w:hint="eastAsia"/>
                <w:color w:val="000000"/>
                <w:sz w:val="24"/>
                <w:szCs w:val="21"/>
              </w:rPr>
            </w:pPr>
            <w:r>
              <w:rPr>
                <w:rFonts w:hint="eastAsia"/>
                <w:color w:val="000000"/>
                <w:sz w:val="24"/>
                <w:szCs w:val="21"/>
              </w:rPr>
              <w:t>d)服务周期内提供产品的维修、换件和升级服务；</w:t>
            </w:r>
          </w:p>
          <w:p w14:paraId="27563100">
            <w:pPr>
              <w:rPr>
                <w:color w:val="000000"/>
                <w:sz w:val="24"/>
                <w:szCs w:val="21"/>
              </w:rPr>
            </w:pPr>
            <w:r>
              <w:rPr>
                <w:rFonts w:hint="eastAsia"/>
                <w:color w:val="000000"/>
                <w:sz w:val="24"/>
                <w:szCs w:val="21"/>
              </w:rPr>
              <w:t>★</w:t>
            </w:r>
            <w:r>
              <w:rPr>
                <w:rFonts w:hint="eastAsia"/>
                <w:color w:val="000000"/>
                <w:sz w:val="24"/>
                <w:szCs w:val="21"/>
                <w:lang w:val="en-US" w:eastAsia="zh-CN"/>
              </w:rPr>
              <w:t>21</w:t>
            </w:r>
            <w:r>
              <w:rPr>
                <w:rFonts w:hint="eastAsia"/>
                <w:color w:val="000000"/>
                <w:sz w:val="24"/>
                <w:szCs w:val="21"/>
              </w:rPr>
              <w:t>.整机质量服务要求 免费服务周期（含换件和维修）保修服务不低于3年，原厂400电话可查</w:t>
            </w:r>
          </w:p>
          <w:p w14:paraId="0C4B9F0D">
            <w:pPr>
              <w:rPr>
                <w:rFonts w:hint="eastAsia"/>
                <w:color w:val="000000"/>
                <w:sz w:val="24"/>
                <w:szCs w:val="21"/>
              </w:rPr>
            </w:pPr>
            <w:r>
              <w:rPr>
                <w:rFonts w:hint="eastAsia"/>
                <w:color w:val="000000"/>
                <w:sz w:val="24"/>
                <w:szCs w:val="21"/>
              </w:rPr>
              <w:t>★</w:t>
            </w:r>
            <w:r>
              <w:rPr>
                <w:rFonts w:hint="eastAsia"/>
                <w:color w:val="000000"/>
                <w:sz w:val="24"/>
                <w:szCs w:val="21"/>
                <w:lang w:val="en-US" w:eastAsia="zh-CN"/>
              </w:rPr>
              <w:t>22</w:t>
            </w:r>
            <w:r>
              <w:rPr>
                <w:rFonts w:hint="eastAsia"/>
                <w:color w:val="000000"/>
                <w:sz w:val="24"/>
                <w:szCs w:val="21"/>
              </w:rPr>
              <w:t>.USB端口管控 支持BIOS级别USB端口管控，可统一设置/单独设置USB接口的启用/禁用/USB存储只读等功能。</w:t>
            </w:r>
          </w:p>
          <w:p w14:paraId="37907979">
            <w:pPr>
              <w:rPr>
                <w:rFonts w:hint="eastAsia"/>
                <w:color w:val="000000"/>
                <w:sz w:val="24"/>
                <w:szCs w:val="21"/>
              </w:rPr>
            </w:pPr>
          </w:p>
          <w:p w14:paraId="176E114D">
            <w:pPr>
              <w:rPr>
                <w:color w:val="000000"/>
                <w:sz w:val="24"/>
                <w:szCs w:val="21"/>
              </w:rPr>
            </w:pPr>
            <w:r>
              <w:rPr>
                <w:rFonts w:hint="eastAsia"/>
                <w:color w:val="000000"/>
                <w:sz w:val="24"/>
                <w:szCs w:val="21"/>
              </w:rPr>
              <w:t>显示器：</w:t>
            </w:r>
          </w:p>
          <w:p w14:paraId="21F4FAB4">
            <w:pPr>
              <w:rPr>
                <w:color w:val="000000"/>
                <w:sz w:val="24"/>
                <w:szCs w:val="21"/>
              </w:rPr>
            </w:pPr>
            <w:r>
              <w:rPr>
                <w:rFonts w:hint="eastAsia"/>
                <w:color w:val="000000"/>
                <w:sz w:val="24"/>
                <w:szCs w:val="21"/>
              </w:rPr>
              <w:t>★1.显示屏尺寸 ≥23.8英寸</w:t>
            </w:r>
          </w:p>
          <w:p w14:paraId="6B95319A">
            <w:pPr>
              <w:rPr>
                <w:color w:val="000000"/>
                <w:sz w:val="24"/>
                <w:szCs w:val="21"/>
              </w:rPr>
            </w:pPr>
            <w:r>
              <w:rPr>
                <w:rFonts w:hint="eastAsia"/>
                <w:color w:val="000000"/>
                <w:sz w:val="24"/>
                <w:szCs w:val="21"/>
              </w:rPr>
              <w:t>★2.显示屏屏幕比例 16：9</w:t>
            </w:r>
          </w:p>
          <w:p w14:paraId="3774451A">
            <w:pPr>
              <w:rPr>
                <w:color w:val="000000"/>
                <w:sz w:val="24"/>
                <w:szCs w:val="21"/>
              </w:rPr>
            </w:pPr>
            <w:r>
              <w:rPr>
                <w:rFonts w:hint="eastAsia"/>
                <w:color w:val="000000"/>
                <w:sz w:val="24"/>
                <w:szCs w:val="21"/>
              </w:rPr>
              <w:t>★3.显示器外观颜色 黑色商务色系</w:t>
            </w:r>
          </w:p>
          <w:p w14:paraId="72B8BBE3">
            <w:pPr>
              <w:rPr>
                <w:color w:val="000000"/>
                <w:sz w:val="24"/>
                <w:szCs w:val="21"/>
              </w:rPr>
            </w:pPr>
            <w:r>
              <w:rPr>
                <w:rFonts w:hint="eastAsia"/>
                <w:color w:val="000000"/>
                <w:sz w:val="24"/>
                <w:szCs w:val="21"/>
              </w:rPr>
              <w:t>★4.显示屏刷新率 ≥100Hz</w:t>
            </w:r>
          </w:p>
          <w:p w14:paraId="0A342422">
            <w:pPr>
              <w:rPr>
                <w:color w:val="000000"/>
                <w:sz w:val="24"/>
                <w:szCs w:val="21"/>
              </w:rPr>
            </w:pPr>
            <w:r>
              <w:rPr>
                <w:rFonts w:hint="eastAsia"/>
                <w:color w:val="000000"/>
                <w:sz w:val="24"/>
                <w:szCs w:val="21"/>
              </w:rPr>
              <w:t>★5.显示屏响应时间 ≤5ms</w:t>
            </w:r>
          </w:p>
          <w:p w14:paraId="719A7781">
            <w:pPr>
              <w:rPr>
                <w:color w:val="000000"/>
                <w:sz w:val="24"/>
                <w:szCs w:val="21"/>
              </w:rPr>
            </w:pPr>
            <w:r>
              <w:rPr>
                <w:rFonts w:hint="eastAsia"/>
                <w:color w:val="000000"/>
                <w:sz w:val="24"/>
                <w:szCs w:val="21"/>
              </w:rPr>
              <w:t>★7.显示屏对比度 ≥1000：1</w:t>
            </w:r>
          </w:p>
          <w:p w14:paraId="25665987">
            <w:pPr>
              <w:rPr>
                <w:color w:val="000000"/>
                <w:sz w:val="24"/>
                <w:szCs w:val="21"/>
              </w:rPr>
            </w:pPr>
            <w:r>
              <w:rPr>
                <w:rFonts w:hint="eastAsia"/>
                <w:color w:val="000000"/>
                <w:sz w:val="24"/>
                <w:szCs w:val="21"/>
              </w:rPr>
              <w:t>★其余参数应满足《台式计算机政府采购需求标准（2023年版）》（财库[2023]29号）中的全部标注“*”规定。</w:t>
            </w:r>
          </w:p>
        </w:tc>
      </w:tr>
      <w:tr w14:paraId="4B87D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tcBorders>
              <w:top w:val="single" w:color="auto" w:sz="4" w:space="0"/>
              <w:left w:val="single" w:color="auto" w:sz="4" w:space="0"/>
              <w:bottom w:val="single" w:color="auto" w:sz="4" w:space="0"/>
              <w:right w:val="single" w:color="auto" w:sz="4" w:space="0"/>
            </w:tcBorders>
            <w:noWrap w:val="0"/>
            <w:vAlign w:val="center"/>
          </w:tcPr>
          <w:p w14:paraId="3E98A79D">
            <w:pPr>
              <w:widowControl/>
              <w:jc w:val="center"/>
              <w:rPr>
                <w:rFonts w:hint="eastAsia" w:cs="宋体"/>
                <w:kern w:val="0"/>
                <w:sz w:val="24"/>
                <w:szCs w:val="21"/>
              </w:rPr>
            </w:pPr>
            <w:r>
              <w:rPr>
                <w:rFonts w:hint="eastAsia" w:cs="宋体"/>
                <w:kern w:val="0"/>
                <w:sz w:val="24"/>
                <w:szCs w:val="21"/>
              </w:rPr>
              <w:t>2</w:t>
            </w:r>
          </w:p>
        </w:tc>
        <w:tc>
          <w:tcPr>
            <w:tcW w:w="959" w:type="pct"/>
            <w:tcBorders>
              <w:top w:val="single" w:color="auto" w:sz="4" w:space="0"/>
              <w:left w:val="single" w:color="auto" w:sz="4" w:space="0"/>
              <w:bottom w:val="single" w:color="auto" w:sz="4" w:space="0"/>
              <w:right w:val="single" w:color="auto" w:sz="4" w:space="0"/>
            </w:tcBorders>
            <w:noWrap w:val="0"/>
            <w:vAlign w:val="center"/>
          </w:tcPr>
          <w:p w14:paraId="71BA0A2F">
            <w:pPr>
              <w:widowControl/>
              <w:jc w:val="center"/>
              <w:rPr>
                <w:rFonts w:cs="宋体"/>
                <w:kern w:val="0"/>
                <w:sz w:val="24"/>
                <w:szCs w:val="21"/>
              </w:rPr>
            </w:pPr>
            <w:r>
              <w:rPr>
                <w:rFonts w:hint="eastAsia" w:ascii="仿宋_GB2312" w:eastAsia="仿宋_GB2312"/>
                <w:color w:val="000000"/>
                <w:sz w:val="24"/>
              </w:rPr>
              <w:t>▲</w:t>
            </w:r>
            <w:r>
              <w:rPr>
                <w:rFonts w:hint="eastAsia" w:cs="宋体"/>
                <w:kern w:val="0"/>
                <w:sz w:val="24"/>
                <w:szCs w:val="21"/>
              </w:rPr>
              <w:t>便携式计算机</w:t>
            </w:r>
          </w:p>
        </w:tc>
        <w:tc>
          <w:tcPr>
            <w:tcW w:w="419" w:type="pct"/>
            <w:tcBorders>
              <w:top w:val="single" w:color="auto" w:sz="4" w:space="0"/>
              <w:left w:val="single" w:color="auto" w:sz="4" w:space="0"/>
              <w:bottom w:val="single" w:color="auto" w:sz="4" w:space="0"/>
              <w:right w:val="single" w:color="auto" w:sz="4" w:space="0"/>
            </w:tcBorders>
            <w:noWrap w:val="0"/>
            <w:vAlign w:val="center"/>
          </w:tcPr>
          <w:p w14:paraId="0B4343F9">
            <w:pPr>
              <w:jc w:val="center"/>
              <w:rPr>
                <w:rFonts w:cs="宋体"/>
                <w:kern w:val="0"/>
                <w:sz w:val="24"/>
                <w:szCs w:val="21"/>
              </w:rPr>
            </w:pPr>
            <w:r>
              <w:rPr>
                <w:rFonts w:hint="eastAsia" w:cs="宋体"/>
                <w:kern w:val="0"/>
                <w:sz w:val="24"/>
                <w:szCs w:val="21"/>
              </w:rPr>
              <w:t>71</w:t>
            </w:r>
          </w:p>
        </w:tc>
        <w:tc>
          <w:tcPr>
            <w:tcW w:w="347" w:type="pct"/>
            <w:tcBorders>
              <w:top w:val="single" w:color="auto" w:sz="4" w:space="0"/>
              <w:left w:val="single" w:color="auto" w:sz="4" w:space="0"/>
              <w:bottom w:val="single" w:color="auto" w:sz="4" w:space="0"/>
              <w:right w:val="single" w:color="auto" w:sz="4" w:space="0"/>
            </w:tcBorders>
            <w:noWrap w:val="0"/>
            <w:vAlign w:val="center"/>
          </w:tcPr>
          <w:p w14:paraId="1DCF6149">
            <w:pPr>
              <w:widowControl/>
              <w:jc w:val="left"/>
              <w:rPr>
                <w:rFonts w:hint="eastAsia" w:ascii="宋体" w:hAnsi="宋体" w:cs="宋体"/>
                <w:color w:val="000000"/>
                <w:kern w:val="0"/>
                <w:szCs w:val="21"/>
                <w:lang w:bidi="ar"/>
              </w:rPr>
            </w:pPr>
            <w:r>
              <w:rPr>
                <w:rFonts w:hint="eastAsia" w:ascii="宋体" w:hAnsi="宋体" w:cs="宋体"/>
                <w:color w:val="000000"/>
                <w:kern w:val="0"/>
                <w:szCs w:val="21"/>
                <w:lang w:bidi="ar"/>
              </w:rPr>
              <w:t>台</w:t>
            </w:r>
          </w:p>
        </w:tc>
        <w:tc>
          <w:tcPr>
            <w:tcW w:w="2870" w:type="pct"/>
            <w:tcBorders>
              <w:top w:val="single" w:color="auto" w:sz="4" w:space="0"/>
              <w:left w:val="single" w:color="auto" w:sz="4" w:space="0"/>
              <w:bottom w:val="single" w:color="auto" w:sz="4" w:space="0"/>
              <w:right w:val="single" w:color="auto" w:sz="4" w:space="0"/>
            </w:tcBorders>
            <w:noWrap w:val="0"/>
            <w:vAlign w:val="center"/>
          </w:tcPr>
          <w:p w14:paraId="2060CC03">
            <w:pPr>
              <w:widowControl/>
              <w:jc w:val="left"/>
              <w:rPr>
                <w:rFonts w:hint="eastAsia" w:ascii="宋体" w:hAnsi="宋体" w:cs="宋体"/>
                <w:color w:val="000000"/>
                <w:kern w:val="0"/>
                <w:szCs w:val="21"/>
                <w:lang w:bidi="ar"/>
              </w:rPr>
            </w:pPr>
            <w:r>
              <w:rPr>
                <w:rFonts w:hint="eastAsia" w:ascii="宋体" w:hAnsi="宋体" w:cs="宋体"/>
                <w:color w:val="000000"/>
                <w:kern w:val="0"/>
                <w:szCs w:val="21"/>
                <w:lang w:bidi="ar"/>
              </w:rPr>
              <w:t>★CPU通过安全可靠测评，支持C86和X86构架；</w:t>
            </w:r>
          </w:p>
          <w:p w14:paraId="31BBB313">
            <w:pPr>
              <w:widowControl/>
              <w:jc w:val="left"/>
              <w:rPr>
                <w:rFonts w:hint="eastAsia" w:ascii="宋体" w:hAnsi="宋体" w:cs="宋体"/>
                <w:color w:val="000000"/>
                <w:kern w:val="0"/>
                <w:szCs w:val="21"/>
                <w:lang w:bidi="ar"/>
              </w:rPr>
            </w:pPr>
            <w:r>
              <w:rPr>
                <w:rFonts w:hint="eastAsia" w:ascii="宋体" w:hAnsi="宋体" w:cs="宋体"/>
                <w:color w:val="000000"/>
                <w:kern w:val="0"/>
                <w:szCs w:val="21"/>
                <w:lang w:bidi="ar"/>
              </w:rPr>
              <w:t xml:space="preserve">★C86或X86架构国产处理器，≥8核，主频 </w:t>
            </w:r>
            <w:r>
              <w:rPr>
                <w:rFonts w:hint="eastAsia" w:ascii="宋体" w:hAnsi="宋体" w:cs="宋体"/>
                <w:color w:val="C00000"/>
                <w:kern w:val="0"/>
                <w:szCs w:val="21"/>
                <w:lang w:bidi="ar"/>
              </w:rPr>
              <w:t>≥</w:t>
            </w:r>
            <w:r>
              <w:rPr>
                <w:rFonts w:hint="eastAsia" w:ascii="宋体" w:hAnsi="宋体" w:cs="宋体"/>
                <w:color w:val="000000"/>
                <w:kern w:val="0"/>
                <w:szCs w:val="21"/>
                <w:lang w:bidi="ar"/>
              </w:rPr>
              <w:t>2.7GHz，≥8MB三级缓存</w:t>
            </w:r>
          </w:p>
          <w:p w14:paraId="32172031">
            <w:pPr>
              <w:rPr>
                <w:rFonts w:hint="eastAsia"/>
                <w:sz w:val="24"/>
                <w:szCs w:val="21"/>
              </w:rPr>
            </w:pPr>
            <w:r>
              <w:rPr>
                <w:rFonts w:hint="eastAsia" w:ascii="宋体" w:hAnsi="宋体" w:cs="宋体"/>
                <w:color w:val="000000"/>
                <w:kern w:val="0"/>
                <w:szCs w:val="21"/>
                <w:lang w:bidi="ar"/>
              </w:rPr>
              <w:t>★内存配置容量：≥16GB</w:t>
            </w:r>
            <w:r>
              <w:rPr>
                <w:rFonts w:hint="eastAsia" w:ascii="宋体" w:hAnsi="宋体" w:cs="宋体"/>
                <w:color w:val="000000"/>
                <w:kern w:val="0"/>
                <w:szCs w:val="21"/>
                <w:lang w:bidi="ar"/>
              </w:rPr>
              <w:br w:type="textWrapping"/>
            </w:r>
            <w:r>
              <w:rPr>
                <w:rFonts w:hint="eastAsia"/>
                <w:sz w:val="24"/>
                <w:szCs w:val="21"/>
              </w:rPr>
              <w:t>★内存条配置数量：</w:t>
            </w:r>
            <w:r>
              <w:rPr>
                <w:rFonts w:hint="eastAsia"/>
                <w:sz w:val="24"/>
                <w:szCs w:val="21"/>
                <w:lang w:val="en-US" w:eastAsia="zh-CN"/>
              </w:rPr>
              <w:t>=</w:t>
            </w:r>
            <w:r>
              <w:rPr>
                <w:rFonts w:hint="eastAsia"/>
                <w:sz w:val="24"/>
                <w:szCs w:val="21"/>
              </w:rPr>
              <w:t>1条，支持扩展</w:t>
            </w:r>
            <w:r>
              <w:rPr>
                <w:rFonts w:hint="eastAsia"/>
                <w:sz w:val="24"/>
                <w:szCs w:val="21"/>
              </w:rPr>
              <w:br w:type="textWrapping"/>
            </w:r>
            <w:r>
              <w:rPr>
                <w:rFonts w:hint="eastAsia"/>
                <w:sz w:val="24"/>
                <w:szCs w:val="21"/>
              </w:rPr>
              <w:t>★固态硬盘容量：≥512GB SSD固态硬盘</w:t>
            </w:r>
          </w:p>
          <w:p w14:paraId="294669A5">
            <w:pPr>
              <w:rPr>
                <w:rFonts w:hint="eastAsia"/>
                <w:sz w:val="24"/>
                <w:szCs w:val="21"/>
              </w:rPr>
            </w:pPr>
            <w:r>
              <w:rPr>
                <w:rFonts w:hint="eastAsia"/>
                <w:sz w:val="24"/>
                <w:szCs w:val="21"/>
              </w:rPr>
              <w:t>★显卡类型：集成显卡</w:t>
            </w:r>
          </w:p>
          <w:p w14:paraId="06DD2DB4">
            <w:pPr>
              <w:rPr>
                <w:rFonts w:hint="eastAsia"/>
                <w:sz w:val="24"/>
                <w:szCs w:val="21"/>
              </w:rPr>
            </w:pPr>
            <w:r>
              <w:rPr>
                <w:rFonts w:hint="eastAsia"/>
                <w:sz w:val="24"/>
                <w:szCs w:val="21"/>
              </w:rPr>
              <w:t>★显示屏尺寸：14英寸</w:t>
            </w:r>
          </w:p>
          <w:p w14:paraId="5F27456C">
            <w:pPr>
              <w:rPr>
                <w:rFonts w:hint="eastAsia" w:ascii="宋体" w:hAnsi="宋体" w:cs="宋体"/>
                <w:color w:val="000000"/>
                <w:kern w:val="0"/>
                <w:szCs w:val="21"/>
                <w:lang w:bidi="ar"/>
              </w:rPr>
            </w:pPr>
            <w:r>
              <w:rPr>
                <w:rFonts w:hint="eastAsia"/>
                <w:sz w:val="24"/>
                <w:szCs w:val="21"/>
              </w:rPr>
              <w:t>★其余参数应满足《便携式计算机政府采购需求标准（2023年版）》（财库[2023]30号）中的全部标注“*”规定。</w:t>
            </w:r>
          </w:p>
        </w:tc>
      </w:tr>
      <w:tr w14:paraId="52CE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tcBorders>
              <w:top w:val="single" w:color="auto" w:sz="4" w:space="0"/>
              <w:left w:val="single" w:color="auto" w:sz="4" w:space="0"/>
              <w:bottom w:val="single" w:color="auto" w:sz="4" w:space="0"/>
              <w:right w:val="single" w:color="auto" w:sz="4" w:space="0"/>
            </w:tcBorders>
            <w:noWrap w:val="0"/>
            <w:vAlign w:val="center"/>
          </w:tcPr>
          <w:p w14:paraId="4E2050F8">
            <w:pPr>
              <w:widowControl/>
              <w:jc w:val="center"/>
              <w:rPr>
                <w:rFonts w:hint="eastAsia" w:cs="宋体"/>
                <w:kern w:val="0"/>
                <w:sz w:val="24"/>
                <w:szCs w:val="21"/>
              </w:rPr>
            </w:pPr>
            <w:r>
              <w:rPr>
                <w:rFonts w:hint="eastAsia" w:cs="宋体"/>
                <w:kern w:val="0"/>
                <w:sz w:val="24"/>
                <w:szCs w:val="21"/>
              </w:rPr>
              <w:t>3</w:t>
            </w:r>
          </w:p>
        </w:tc>
        <w:tc>
          <w:tcPr>
            <w:tcW w:w="959" w:type="pct"/>
            <w:tcBorders>
              <w:top w:val="single" w:color="auto" w:sz="4" w:space="0"/>
              <w:left w:val="single" w:color="auto" w:sz="4" w:space="0"/>
              <w:bottom w:val="single" w:color="auto" w:sz="4" w:space="0"/>
              <w:right w:val="single" w:color="auto" w:sz="4" w:space="0"/>
            </w:tcBorders>
            <w:noWrap w:val="0"/>
            <w:vAlign w:val="center"/>
          </w:tcPr>
          <w:p w14:paraId="714A08DF">
            <w:pPr>
              <w:widowControl/>
              <w:jc w:val="center"/>
              <w:rPr>
                <w:rFonts w:cs="宋体"/>
                <w:kern w:val="0"/>
                <w:sz w:val="24"/>
                <w:szCs w:val="21"/>
              </w:rPr>
            </w:pPr>
            <w:r>
              <w:rPr>
                <w:rFonts w:hint="eastAsia" w:cs="宋体"/>
                <w:kern w:val="0"/>
                <w:sz w:val="24"/>
                <w:szCs w:val="21"/>
              </w:rPr>
              <w:t>操作系统</w:t>
            </w:r>
          </w:p>
        </w:tc>
        <w:tc>
          <w:tcPr>
            <w:tcW w:w="419" w:type="pct"/>
            <w:tcBorders>
              <w:top w:val="single" w:color="auto" w:sz="4" w:space="0"/>
              <w:left w:val="single" w:color="auto" w:sz="4" w:space="0"/>
              <w:bottom w:val="single" w:color="auto" w:sz="4" w:space="0"/>
              <w:right w:val="single" w:color="auto" w:sz="4" w:space="0"/>
            </w:tcBorders>
            <w:noWrap w:val="0"/>
            <w:vAlign w:val="center"/>
          </w:tcPr>
          <w:p w14:paraId="0E574D09">
            <w:pPr>
              <w:jc w:val="center"/>
              <w:rPr>
                <w:rFonts w:cs="宋体"/>
                <w:kern w:val="0"/>
                <w:sz w:val="24"/>
                <w:szCs w:val="21"/>
              </w:rPr>
            </w:pPr>
            <w:r>
              <w:rPr>
                <w:rFonts w:hint="eastAsia" w:cs="宋体"/>
                <w:kern w:val="0"/>
                <w:sz w:val="24"/>
                <w:szCs w:val="21"/>
              </w:rPr>
              <w:t>242</w:t>
            </w:r>
          </w:p>
        </w:tc>
        <w:tc>
          <w:tcPr>
            <w:tcW w:w="347" w:type="pct"/>
            <w:tcBorders>
              <w:top w:val="single" w:color="auto" w:sz="4" w:space="0"/>
              <w:left w:val="single" w:color="auto" w:sz="4" w:space="0"/>
              <w:bottom w:val="single" w:color="auto" w:sz="4" w:space="0"/>
              <w:right w:val="single" w:color="auto" w:sz="4" w:space="0"/>
            </w:tcBorders>
            <w:noWrap w:val="0"/>
            <w:vAlign w:val="center"/>
          </w:tcPr>
          <w:p w14:paraId="76362F67">
            <w:pPr>
              <w:jc w:val="center"/>
              <w:rPr>
                <w:sz w:val="24"/>
                <w:szCs w:val="21"/>
              </w:rPr>
            </w:pPr>
            <w:r>
              <w:rPr>
                <w:sz w:val="24"/>
                <w:szCs w:val="21"/>
              </w:rPr>
              <w:t>套</w:t>
            </w:r>
          </w:p>
        </w:tc>
        <w:tc>
          <w:tcPr>
            <w:tcW w:w="2870" w:type="pct"/>
            <w:tcBorders>
              <w:top w:val="single" w:color="auto" w:sz="4" w:space="0"/>
              <w:left w:val="single" w:color="auto" w:sz="4" w:space="0"/>
              <w:bottom w:val="single" w:color="auto" w:sz="4" w:space="0"/>
              <w:right w:val="single" w:color="auto" w:sz="4" w:space="0"/>
            </w:tcBorders>
            <w:noWrap w:val="0"/>
            <w:vAlign w:val="center"/>
          </w:tcPr>
          <w:p w14:paraId="63A4E6F3">
            <w:pPr>
              <w:rPr>
                <w:rFonts w:hint="eastAsia"/>
                <w:sz w:val="24"/>
                <w:szCs w:val="21"/>
              </w:rPr>
            </w:pPr>
            <w:r>
              <w:rPr>
                <w:rFonts w:hint="eastAsia"/>
                <w:sz w:val="24"/>
                <w:szCs w:val="21"/>
              </w:rPr>
              <w:t>★1.所投桌面操作系统通过安全可靠测评；</w:t>
            </w:r>
          </w:p>
          <w:p w14:paraId="1432388D">
            <w:pPr>
              <w:rPr>
                <w:rFonts w:hint="eastAsia"/>
                <w:sz w:val="24"/>
                <w:szCs w:val="21"/>
              </w:rPr>
            </w:pPr>
            <w:r>
              <w:rPr>
                <w:rFonts w:hint="eastAsia"/>
                <w:sz w:val="24"/>
                <w:szCs w:val="21"/>
              </w:rPr>
              <w:t>2.系统支持磁盘健康检测、磁盘分区表错误检测、磁盘坏道修复检测；</w:t>
            </w:r>
          </w:p>
          <w:p w14:paraId="52BD6036">
            <w:pPr>
              <w:rPr>
                <w:rFonts w:hint="eastAsia"/>
                <w:sz w:val="24"/>
                <w:szCs w:val="21"/>
              </w:rPr>
            </w:pPr>
            <w:r>
              <w:rPr>
                <w:rFonts w:hint="eastAsia"/>
                <w:sz w:val="24"/>
                <w:szCs w:val="21"/>
              </w:rPr>
              <w:t>3.操作系统提供同品牌语音记事本，支持富文本编辑器、语音记录、自动翻译，提供图文编辑与导出功能；</w:t>
            </w:r>
          </w:p>
          <w:p w14:paraId="1EEFC125">
            <w:pPr>
              <w:rPr>
                <w:rFonts w:hint="eastAsia"/>
                <w:sz w:val="24"/>
                <w:szCs w:val="21"/>
              </w:rPr>
            </w:pPr>
            <w:r>
              <w:rPr>
                <w:rFonts w:hint="eastAsia"/>
                <w:sz w:val="24"/>
                <w:szCs w:val="21"/>
              </w:rPr>
              <w:t>4.操作系统支持系统增量升级功能，对系统部件、安全补丁等升级；支持在线升级和离线升级； 升级不得修改破坏用户数据；升级不得影响原有软硬件兼容性；提供升级回退机制，能卸载已升级的软件包，恢复系统原有状态；如升级为不可回退，则系统升级前以显式的提示告知用户</w:t>
            </w:r>
            <w:r>
              <w:rPr>
                <w:rFonts w:hint="eastAsia"/>
                <w:sz w:val="24"/>
                <w:szCs w:val="21"/>
                <w:lang w:val="en-US" w:eastAsia="zh-CN"/>
              </w:rPr>
              <w:t xml:space="preserve"> </w:t>
            </w:r>
            <w:r>
              <w:rPr>
                <w:rFonts w:hint="eastAsia"/>
                <w:sz w:val="24"/>
                <w:szCs w:val="21"/>
              </w:rPr>
              <w:t>系统区分功能升级和安全补丁升级，用户可在不升级系统版本的状态下，获得长期的安全补丁更新。</w:t>
            </w:r>
          </w:p>
          <w:p w14:paraId="2091F6D0">
            <w:pPr>
              <w:rPr>
                <w:sz w:val="24"/>
                <w:szCs w:val="21"/>
              </w:rPr>
            </w:pPr>
            <w:r>
              <w:rPr>
                <w:rFonts w:hint="eastAsia"/>
                <w:sz w:val="24"/>
                <w:szCs w:val="21"/>
              </w:rPr>
              <w:t>★5其余参数应满足《操作系统政府采购需求标准（2023年版）》（财库[2023]34号）中的全部标注“*”规定。</w:t>
            </w:r>
          </w:p>
        </w:tc>
      </w:tr>
      <w:tr w14:paraId="73D3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tcBorders>
              <w:top w:val="single" w:color="auto" w:sz="4" w:space="0"/>
              <w:left w:val="single" w:color="auto" w:sz="4" w:space="0"/>
              <w:bottom w:val="single" w:color="auto" w:sz="4" w:space="0"/>
              <w:right w:val="single" w:color="auto" w:sz="4" w:space="0"/>
            </w:tcBorders>
            <w:noWrap w:val="0"/>
            <w:vAlign w:val="center"/>
          </w:tcPr>
          <w:p w14:paraId="5C09FEDE">
            <w:pPr>
              <w:widowControl/>
              <w:jc w:val="center"/>
              <w:rPr>
                <w:rFonts w:hint="eastAsia" w:cs="宋体"/>
                <w:kern w:val="0"/>
                <w:sz w:val="24"/>
                <w:szCs w:val="21"/>
              </w:rPr>
            </w:pPr>
            <w:r>
              <w:rPr>
                <w:rFonts w:hint="eastAsia" w:cs="宋体"/>
                <w:kern w:val="0"/>
                <w:sz w:val="24"/>
                <w:szCs w:val="21"/>
              </w:rPr>
              <w:t>4</w:t>
            </w:r>
          </w:p>
        </w:tc>
        <w:tc>
          <w:tcPr>
            <w:tcW w:w="959" w:type="pct"/>
            <w:tcBorders>
              <w:top w:val="single" w:color="auto" w:sz="4" w:space="0"/>
              <w:left w:val="single" w:color="auto" w:sz="4" w:space="0"/>
              <w:bottom w:val="single" w:color="auto" w:sz="4" w:space="0"/>
              <w:right w:val="single" w:color="auto" w:sz="4" w:space="0"/>
            </w:tcBorders>
            <w:noWrap w:val="0"/>
            <w:vAlign w:val="center"/>
          </w:tcPr>
          <w:p w14:paraId="05B36EC1">
            <w:pPr>
              <w:widowControl/>
              <w:jc w:val="center"/>
              <w:rPr>
                <w:rFonts w:hint="default" w:eastAsia="宋体" w:cs="宋体"/>
                <w:kern w:val="0"/>
                <w:sz w:val="24"/>
                <w:szCs w:val="21"/>
                <w:lang w:val="en-US" w:eastAsia="zh-CN"/>
              </w:rPr>
            </w:pPr>
            <w:r>
              <w:rPr>
                <w:rFonts w:hint="eastAsia" w:cs="宋体"/>
                <w:kern w:val="0"/>
                <w:sz w:val="24"/>
                <w:szCs w:val="21"/>
              </w:rPr>
              <w:t>流式软件</w:t>
            </w:r>
          </w:p>
        </w:tc>
        <w:tc>
          <w:tcPr>
            <w:tcW w:w="419" w:type="pct"/>
            <w:tcBorders>
              <w:top w:val="single" w:color="auto" w:sz="4" w:space="0"/>
              <w:left w:val="single" w:color="auto" w:sz="4" w:space="0"/>
              <w:bottom w:val="single" w:color="auto" w:sz="4" w:space="0"/>
              <w:right w:val="single" w:color="auto" w:sz="4" w:space="0"/>
            </w:tcBorders>
            <w:noWrap w:val="0"/>
            <w:vAlign w:val="center"/>
          </w:tcPr>
          <w:p w14:paraId="5850E1C1">
            <w:pPr>
              <w:jc w:val="center"/>
              <w:rPr>
                <w:rFonts w:cs="宋体"/>
                <w:kern w:val="0"/>
                <w:sz w:val="24"/>
                <w:szCs w:val="21"/>
              </w:rPr>
            </w:pPr>
            <w:r>
              <w:rPr>
                <w:rFonts w:hint="eastAsia" w:cs="宋体"/>
                <w:kern w:val="0"/>
                <w:sz w:val="24"/>
                <w:szCs w:val="21"/>
              </w:rPr>
              <w:t>242</w:t>
            </w:r>
          </w:p>
        </w:tc>
        <w:tc>
          <w:tcPr>
            <w:tcW w:w="347" w:type="pct"/>
            <w:tcBorders>
              <w:top w:val="single" w:color="auto" w:sz="4" w:space="0"/>
              <w:left w:val="single" w:color="auto" w:sz="4" w:space="0"/>
              <w:bottom w:val="single" w:color="auto" w:sz="4" w:space="0"/>
              <w:right w:val="single" w:color="auto" w:sz="4" w:space="0"/>
            </w:tcBorders>
            <w:noWrap w:val="0"/>
            <w:vAlign w:val="center"/>
          </w:tcPr>
          <w:p w14:paraId="0A21FA3A">
            <w:pPr>
              <w:jc w:val="center"/>
              <w:rPr>
                <w:sz w:val="24"/>
                <w:szCs w:val="21"/>
              </w:rPr>
            </w:pPr>
            <w:r>
              <w:rPr>
                <w:sz w:val="24"/>
                <w:szCs w:val="21"/>
              </w:rPr>
              <w:t>套</w:t>
            </w:r>
          </w:p>
        </w:tc>
        <w:tc>
          <w:tcPr>
            <w:tcW w:w="2870" w:type="pct"/>
            <w:tcBorders>
              <w:top w:val="single" w:color="auto" w:sz="4" w:space="0"/>
              <w:left w:val="single" w:color="auto" w:sz="4" w:space="0"/>
              <w:bottom w:val="single" w:color="auto" w:sz="4" w:space="0"/>
              <w:right w:val="single" w:color="auto" w:sz="4" w:space="0"/>
            </w:tcBorders>
            <w:noWrap w:val="0"/>
            <w:vAlign w:val="center"/>
          </w:tcPr>
          <w:p w14:paraId="32159B8C">
            <w:pPr>
              <w:rPr>
                <w:rFonts w:hint="eastAsia"/>
                <w:sz w:val="24"/>
                <w:szCs w:val="21"/>
              </w:rPr>
            </w:pPr>
            <w:r>
              <w:rPr>
                <w:rFonts w:hint="eastAsia"/>
                <w:sz w:val="24"/>
                <w:szCs w:val="21"/>
              </w:rPr>
              <w:t>支持主流国产技术路线CPU。</w:t>
            </w:r>
          </w:p>
          <w:p w14:paraId="04E128D5">
            <w:pPr>
              <w:rPr>
                <w:rFonts w:hint="eastAsia"/>
                <w:sz w:val="24"/>
                <w:szCs w:val="21"/>
              </w:rPr>
            </w:pPr>
            <w:r>
              <w:rPr>
                <w:rFonts w:hint="eastAsia"/>
                <w:sz w:val="24"/>
                <w:szCs w:val="21"/>
              </w:rPr>
              <w:t>适配中国信息安全测评中心安全可靠测评的麒麟、统信、鸿蒙等操作系统</w:t>
            </w:r>
          </w:p>
          <w:p w14:paraId="5DE1F120">
            <w:pPr>
              <w:rPr>
                <w:rFonts w:hint="eastAsia"/>
                <w:sz w:val="24"/>
                <w:szCs w:val="21"/>
              </w:rPr>
            </w:pPr>
            <w:r>
              <w:rPr>
                <w:rFonts w:hint="eastAsia"/>
                <w:sz w:val="24"/>
                <w:szCs w:val="21"/>
              </w:rPr>
              <w:t>★文字，表格，演示三个组件均支持在输出OFD时可设置输出范围。输出范围"支持根据需要仅输出对应的页、工作表或者幻灯片，提高导出效率。</w:t>
            </w:r>
          </w:p>
          <w:p w14:paraId="31D7CD2D">
            <w:pPr>
              <w:rPr>
                <w:rFonts w:hint="eastAsia"/>
                <w:sz w:val="24"/>
                <w:szCs w:val="21"/>
              </w:rPr>
            </w:pPr>
            <w:r>
              <w:rPr>
                <w:rFonts w:hint="eastAsia"/>
                <w:sz w:val="24"/>
                <w:szCs w:val="21"/>
              </w:rPr>
              <w:t>★支持章节导航、书签导航。章节导航支持显示章节内容、更改章节标题、增加节、删除节、合并节。书签导航支持显示书签，按照书签的名称和位置排序。</w:t>
            </w:r>
          </w:p>
          <w:p w14:paraId="52D7A065">
            <w:pPr>
              <w:rPr>
                <w:rFonts w:hint="eastAsia"/>
                <w:sz w:val="24"/>
                <w:szCs w:val="21"/>
              </w:rPr>
            </w:pPr>
            <w:r>
              <w:rPr>
                <w:rFonts w:hint="eastAsia"/>
                <w:sz w:val="24"/>
                <w:szCs w:val="21"/>
              </w:rPr>
              <w:t>★支持选中编号编辑，更方便的更改编号格式和位置。支持段落柄功能，快速设置、查看当前段落、选区的段落属性。</w:t>
            </w:r>
          </w:p>
          <w:p w14:paraId="1B5BD144">
            <w:pPr>
              <w:rPr>
                <w:rFonts w:hint="eastAsia"/>
                <w:sz w:val="24"/>
                <w:szCs w:val="21"/>
              </w:rPr>
            </w:pPr>
            <w:r>
              <w:rPr>
                <w:rFonts w:hint="eastAsia"/>
                <w:sz w:val="24"/>
                <w:szCs w:val="21"/>
              </w:rPr>
              <w:t>★支持放映幻灯片时，按设置时间进行倒计时。  便于培训、授课时更好的设置和提醒课件休息时间。</w:t>
            </w:r>
          </w:p>
          <w:p w14:paraId="70934AA3">
            <w:pPr>
              <w:rPr>
                <w:rFonts w:hint="eastAsia"/>
                <w:sz w:val="24"/>
                <w:szCs w:val="21"/>
              </w:rPr>
            </w:pPr>
            <w:r>
              <w:rPr>
                <w:rFonts w:hint="eastAsia" w:ascii="宋体" w:hAnsi="宋体"/>
                <w:b/>
                <w:bCs/>
              </w:rPr>
              <w:t>加“</w:t>
            </w:r>
            <w:r>
              <w:rPr>
                <w:rFonts w:hint="eastAsia"/>
                <w:sz w:val="24"/>
                <w:szCs w:val="21"/>
              </w:rPr>
              <w:t>★</w:t>
            </w:r>
            <w:r>
              <w:rPr>
                <w:rFonts w:hint="eastAsia" w:ascii="宋体" w:hAnsi="宋体"/>
                <w:b/>
                <w:bCs/>
              </w:rPr>
              <w:t>”项需提供功能界面截图证明。</w:t>
            </w:r>
          </w:p>
        </w:tc>
      </w:tr>
    </w:tbl>
    <w:p w14:paraId="6876E88D">
      <w:pPr>
        <w:spacing w:line="360" w:lineRule="auto"/>
        <w:ind w:firstLine="480" w:firstLineChars="200"/>
        <w:outlineLvl w:val="0"/>
        <w:rPr>
          <w:rFonts w:hint="eastAsia"/>
          <w:color w:val="000000"/>
          <w:sz w:val="24"/>
        </w:rPr>
      </w:pPr>
      <w:bookmarkStart w:id="1" w:name="OLE_LINK6"/>
      <w:bookmarkStart w:id="2" w:name="OLE_LINK7"/>
      <w:bookmarkStart w:id="3" w:name="OLE_LINK8"/>
      <w:bookmarkStart w:id="4" w:name="OLE_LINK9"/>
    </w:p>
    <w:p w14:paraId="5232F7BA">
      <w:pPr>
        <w:widowControl/>
        <w:jc w:val="center"/>
        <w:rPr>
          <w:rFonts w:hint="eastAsia" w:ascii="宋体" w:hAnsi="宋体" w:cs="宋体"/>
          <w:color w:val="000000"/>
          <w:kern w:val="0"/>
          <w:sz w:val="24"/>
          <w:szCs w:val="24"/>
        </w:rPr>
      </w:pPr>
    </w:p>
    <w:p w14:paraId="093FF36B">
      <w:pPr>
        <w:spacing w:line="360" w:lineRule="auto"/>
        <w:outlineLvl w:val="0"/>
        <w:rPr>
          <w:rFonts w:hint="eastAsia" w:ascii="仿宋_GB2312" w:eastAsia="仿宋_GB2312"/>
          <w:color w:val="000000"/>
          <w:sz w:val="24"/>
        </w:rPr>
      </w:pPr>
    </w:p>
    <w:p w14:paraId="7B17608A">
      <w:pPr>
        <w:spacing w:line="360" w:lineRule="auto"/>
        <w:ind w:firstLine="480" w:firstLineChars="200"/>
        <w:outlineLvl w:val="0"/>
        <w:rPr>
          <w:rFonts w:hint="eastAsia" w:ascii="仿宋_GB2312" w:eastAsia="仿宋_GB2312"/>
          <w:color w:val="000000"/>
          <w:sz w:val="24"/>
        </w:rPr>
      </w:pPr>
      <w:r>
        <w:rPr>
          <w:rFonts w:hint="eastAsia" w:ascii="仿宋_GB2312" w:eastAsia="仿宋_GB2312"/>
          <w:color w:val="000000"/>
          <w:sz w:val="24"/>
        </w:rPr>
        <w:t>注：</w:t>
      </w:r>
    </w:p>
    <w:p w14:paraId="551C0B70">
      <w:pPr>
        <w:spacing w:line="360" w:lineRule="auto"/>
        <w:ind w:firstLine="480" w:firstLineChars="200"/>
        <w:outlineLvl w:val="0"/>
        <w:rPr>
          <w:rFonts w:hint="eastAsia" w:ascii="仿宋_GB2312" w:eastAsia="仿宋_GB2312"/>
          <w:color w:val="000000"/>
          <w:sz w:val="24"/>
        </w:rPr>
      </w:pPr>
      <w:r>
        <w:rPr>
          <w:rFonts w:hint="eastAsia" w:ascii="仿宋_GB2312" w:eastAsia="仿宋_GB2312"/>
          <w:color w:val="000000"/>
          <w:sz w:val="24"/>
        </w:rPr>
        <w:t>加注“▲”号的产品为核心产品（如未明确核心产品，则视为全部产品均为核心产品）。</w:t>
      </w:r>
    </w:p>
    <w:p w14:paraId="2A1A24A9">
      <w:pPr>
        <w:spacing w:line="360" w:lineRule="auto"/>
        <w:ind w:firstLine="480" w:firstLineChars="200"/>
        <w:outlineLvl w:val="0"/>
        <w:rPr>
          <w:rFonts w:hint="eastAsia" w:ascii="仿宋_GB2312" w:eastAsia="仿宋_GB2312"/>
          <w:color w:val="000000"/>
          <w:sz w:val="24"/>
        </w:rPr>
      </w:pPr>
      <w:r>
        <w:rPr>
          <w:rFonts w:hint="eastAsia" w:ascii="仿宋_GB2312" w:eastAsia="仿宋_GB2312"/>
          <w:color w:val="000000"/>
          <w:sz w:val="24"/>
        </w:rPr>
        <w:t>加注“■”号的产品属于现行节能产品政府采购强制采购的产品，投标人只能选择符合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等文件要求的强制采购的节能产品进行投标，并提供相关认证证书扫描件，否则不予认定。</w:t>
      </w:r>
    </w:p>
    <w:p w14:paraId="085E0901">
      <w:pPr>
        <w:spacing w:line="360" w:lineRule="auto"/>
        <w:ind w:firstLine="482" w:firstLineChars="200"/>
        <w:rPr>
          <w:rFonts w:hint="eastAsia" w:ascii="宋体" w:hAnsi="宋体"/>
          <w:b/>
          <w:sz w:val="24"/>
        </w:rPr>
      </w:pPr>
      <w:r>
        <w:rPr>
          <w:rFonts w:hint="eastAsia" w:ascii="宋体" w:hAnsi="宋体"/>
          <w:b/>
          <w:sz w:val="24"/>
        </w:rPr>
        <w:t>五、商务要求</w:t>
      </w:r>
    </w:p>
    <w:p w14:paraId="62824E9C">
      <w:pPr>
        <w:autoSpaceDE w:val="0"/>
        <w:autoSpaceDN w:val="0"/>
        <w:adjustRightInd w:val="0"/>
        <w:spacing w:line="360" w:lineRule="auto"/>
        <w:ind w:firstLine="480" w:firstLineChars="200"/>
        <w:rPr>
          <w:rFonts w:ascii="仿宋_GB2312" w:eastAsia="仿宋_GB2312"/>
          <w:color w:val="000000"/>
          <w:sz w:val="24"/>
        </w:rPr>
      </w:pPr>
      <w:r>
        <w:rPr>
          <w:rFonts w:hint="eastAsia" w:ascii="仿宋_GB2312" w:eastAsia="仿宋_GB2312"/>
          <w:color w:val="000000"/>
          <w:sz w:val="24"/>
          <w:szCs w:val="24"/>
        </w:rPr>
        <w:t>★</w:t>
      </w:r>
      <w:r>
        <w:rPr>
          <w:rFonts w:hint="eastAsia" w:ascii="仿宋_GB2312" w:eastAsia="仿宋_GB2312"/>
          <w:color w:val="000000"/>
          <w:sz w:val="24"/>
        </w:rPr>
        <w:t>（一）报价要求</w:t>
      </w:r>
    </w:p>
    <w:p w14:paraId="6F97B515">
      <w:pPr>
        <w:autoSpaceDE w:val="0"/>
        <w:autoSpaceDN w:val="0"/>
        <w:adjustRightInd w:val="0"/>
        <w:spacing w:line="360" w:lineRule="auto"/>
        <w:ind w:firstLine="480" w:firstLineChars="200"/>
        <w:rPr>
          <w:rFonts w:ascii="仿宋_GB2312" w:eastAsia="仿宋_GB2312"/>
          <w:color w:val="000000"/>
          <w:sz w:val="24"/>
        </w:rPr>
      </w:pPr>
      <w:r>
        <w:rPr>
          <w:rFonts w:hint="eastAsia" w:ascii="仿宋_GB2312" w:eastAsia="仿宋_GB2312"/>
          <w:color w:val="000000"/>
          <w:sz w:val="24"/>
        </w:rPr>
        <w:t>1. 投标报价以人民币填列。</w:t>
      </w:r>
    </w:p>
    <w:p w14:paraId="062618F9">
      <w:pPr>
        <w:autoSpaceDE w:val="0"/>
        <w:autoSpaceDN w:val="0"/>
        <w:adjustRightInd w:val="0"/>
        <w:spacing w:line="360" w:lineRule="auto"/>
        <w:ind w:firstLine="480" w:firstLineChars="200"/>
        <w:rPr>
          <w:rFonts w:ascii="仿宋_GB2312" w:eastAsia="仿宋_GB2312"/>
          <w:color w:val="000000"/>
          <w:sz w:val="24"/>
        </w:rPr>
      </w:pPr>
      <w:r>
        <w:rPr>
          <w:rFonts w:hint="eastAsia" w:ascii="仿宋_GB2312" w:eastAsia="仿宋_GB2312"/>
          <w:color w:val="000000"/>
          <w:sz w:val="24"/>
        </w:rPr>
        <w:t>2. 投标人的报价应包括：设备主机及附件货款、运输费、运输保险费、装卸费、安装调试费及利润税金等为完成招标文件规定的全部要求所需的一切费用。投标人所报价格为货到现场安装调试完成的最终优惠价格。</w:t>
      </w:r>
    </w:p>
    <w:p w14:paraId="35D96994">
      <w:pPr>
        <w:autoSpaceDE w:val="0"/>
        <w:autoSpaceDN w:val="0"/>
        <w:adjustRightInd w:val="0"/>
        <w:spacing w:line="360" w:lineRule="auto"/>
        <w:ind w:firstLine="480" w:firstLineChars="200"/>
        <w:rPr>
          <w:rFonts w:ascii="仿宋_GB2312" w:eastAsia="仿宋_GB2312"/>
          <w:color w:val="000000"/>
          <w:sz w:val="24"/>
        </w:rPr>
      </w:pPr>
      <w:r>
        <w:rPr>
          <w:rFonts w:hint="eastAsia" w:ascii="仿宋_GB2312" w:eastAsia="仿宋_GB2312"/>
          <w:color w:val="000000"/>
          <w:sz w:val="24"/>
        </w:rPr>
        <w:t>3. 验收及相关费用由投标人负责。</w:t>
      </w:r>
    </w:p>
    <w:p w14:paraId="6469D0D6">
      <w:pPr>
        <w:spacing w:line="360" w:lineRule="auto"/>
        <w:ind w:firstLine="480" w:firstLineChars="200"/>
        <w:outlineLvl w:val="0"/>
        <w:rPr>
          <w:rFonts w:ascii="仿宋_GB2312" w:eastAsia="仿宋_GB2312"/>
          <w:color w:val="000000"/>
          <w:sz w:val="24"/>
        </w:rPr>
      </w:pPr>
      <w:r>
        <w:rPr>
          <w:rFonts w:hint="eastAsia" w:ascii="仿宋_GB2312" w:eastAsia="仿宋_GB2312"/>
          <w:color w:val="000000"/>
          <w:sz w:val="24"/>
        </w:rPr>
        <w:t>（二）服务要求</w:t>
      </w:r>
    </w:p>
    <w:p w14:paraId="2AE362EB">
      <w:pPr>
        <w:spacing w:line="360" w:lineRule="auto"/>
        <w:ind w:firstLine="480" w:firstLineChars="200"/>
        <w:outlineLvl w:val="0"/>
        <w:rPr>
          <w:rFonts w:ascii="仿宋_GB2312" w:eastAsia="仿宋_GB2312"/>
          <w:color w:val="000000"/>
          <w:sz w:val="24"/>
        </w:rPr>
      </w:pPr>
      <w:r>
        <w:rPr>
          <w:rFonts w:hint="eastAsia" w:ascii="仿宋_GB2312" w:eastAsia="仿宋_GB2312"/>
          <w:color w:val="000000"/>
          <w:sz w:val="24"/>
        </w:rPr>
        <w:t>1. 提供所投计算机产品至少3年原厂售后，终身维修；其他产品至少提供1年原厂技术服务。</w:t>
      </w:r>
    </w:p>
    <w:p w14:paraId="3AB85D8F">
      <w:pPr>
        <w:spacing w:line="360" w:lineRule="auto"/>
        <w:ind w:firstLine="480" w:firstLineChars="200"/>
        <w:outlineLvl w:val="0"/>
        <w:rPr>
          <w:rFonts w:ascii="仿宋_GB2312" w:eastAsia="仿宋_GB2312"/>
          <w:color w:val="000000"/>
          <w:sz w:val="24"/>
        </w:rPr>
      </w:pPr>
      <w:r>
        <w:rPr>
          <w:rFonts w:hint="eastAsia" w:ascii="仿宋_GB2312" w:eastAsia="仿宋_GB2312"/>
          <w:color w:val="000000"/>
          <w:sz w:val="24"/>
        </w:rPr>
        <w:t>2. 保修期内免费更换零配件，7×24小时技术响应，48小时内维修工程师到达维修现场。保修期自验收合格之日起计算。</w:t>
      </w:r>
    </w:p>
    <w:p w14:paraId="40F44593">
      <w:pPr>
        <w:spacing w:line="360" w:lineRule="auto"/>
        <w:ind w:firstLine="480" w:firstLineChars="200"/>
        <w:outlineLvl w:val="0"/>
        <w:rPr>
          <w:rFonts w:ascii="仿宋_GB2312" w:eastAsia="仿宋_GB2312"/>
          <w:color w:val="000000"/>
          <w:sz w:val="24"/>
        </w:rPr>
      </w:pPr>
      <w:r>
        <w:rPr>
          <w:rFonts w:hint="eastAsia" w:ascii="仿宋_GB2312" w:eastAsia="仿宋_GB2312"/>
          <w:color w:val="000000"/>
          <w:sz w:val="24"/>
        </w:rPr>
        <w:t>3. 提供所投产品制造商服务机构情况，包括地址、联系方式及技术人员数量等。</w:t>
      </w:r>
    </w:p>
    <w:p w14:paraId="69906215">
      <w:pPr>
        <w:spacing w:line="360" w:lineRule="auto"/>
        <w:ind w:firstLine="480" w:firstLineChars="200"/>
        <w:outlineLvl w:val="0"/>
        <w:rPr>
          <w:rFonts w:ascii="仿宋_GB2312" w:eastAsia="仿宋_GB2312"/>
          <w:color w:val="000000"/>
          <w:sz w:val="24"/>
        </w:rPr>
      </w:pPr>
      <w:r>
        <w:rPr>
          <w:rFonts w:hint="eastAsia" w:ascii="仿宋_GB2312" w:eastAsia="仿宋_GB2312"/>
          <w:color w:val="000000"/>
          <w:sz w:val="24"/>
        </w:rPr>
        <w:t>4. 提供原厂标准的易耗品、消耗材料价格清单及折扣率，保修期后设备维修的价格清单及折扣率。</w:t>
      </w:r>
    </w:p>
    <w:p w14:paraId="3C379F2A">
      <w:pPr>
        <w:spacing w:line="360" w:lineRule="auto"/>
        <w:ind w:firstLine="480" w:firstLineChars="200"/>
        <w:outlineLvl w:val="0"/>
        <w:rPr>
          <w:rFonts w:ascii="仿宋_GB2312" w:eastAsia="仿宋_GB2312"/>
          <w:color w:val="000000"/>
          <w:sz w:val="24"/>
        </w:rPr>
      </w:pPr>
      <w:r>
        <w:rPr>
          <w:rFonts w:hint="eastAsia" w:ascii="仿宋_GB2312" w:eastAsia="仿宋_GB2312"/>
          <w:color w:val="000000"/>
          <w:sz w:val="24"/>
        </w:rPr>
        <w:t>5. 提供现场技术培训。</w:t>
      </w:r>
    </w:p>
    <w:p w14:paraId="370F4193">
      <w:pPr>
        <w:spacing w:line="360" w:lineRule="auto"/>
        <w:ind w:firstLine="480" w:firstLineChars="200"/>
        <w:outlineLvl w:val="0"/>
        <w:rPr>
          <w:rFonts w:ascii="仿宋_GB2312" w:eastAsia="仿宋_GB2312"/>
          <w:color w:val="000000"/>
          <w:sz w:val="24"/>
        </w:rPr>
      </w:pPr>
      <w:r>
        <w:rPr>
          <w:rFonts w:hint="eastAsia" w:ascii="仿宋_GB2312" w:eastAsia="仿宋_GB2312"/>
          <w:color w:val="000000"/>
          <w:sz w:val="24"/>
        </w:rPr>
        <w:t>6.交货时采购人有权要求投标人对产品的合法供货渠道进行说明，经核实如投标人提供非法渠道的商品，投标人要承担商品价值双倍的赔偿;同时依法律追究其他责任，并连带追究所投产品生产企业的责任。</w:t>
      </w:r>
    </w:p>
    <w:p w14:paraId="1F468A87">
      <w:pPr>
        <w:autoSpaceDE w:val="0"/>
        <w:autoSpaceDN w:val="0"/>
        <w:adjustRightInd w:val="0"/>
        <w:spacing w:line="360" w:lineRule="auto"/>
        <w:ind w:firstLine="480" w:firstLineChars="200"/>
        <w:rPr>
          <w:rFonts w:ascii="仿宋_GB2312" w:eastAsia="仿宋_GB2312"/>
          <w:color w:val="000000"/>
          <w:sz w:val="24"/>
        </w:rPr>
      </w:pPr>
      <w:r>
        <w:rPr>
          <w:rFonts w:hint="eastAsia" w:ascii="仿宋_GB2312" w:eastAsia="仿宋_GB2312"/>
          <w:color w:val="000000"/>
          <w:sz w:val="24"/>
          <w:szCs w:val="24"/>
        </w:rPr>
        <w:t>★</w:t>
      </w:r>
      <w:r>
        <w:rPr>
          <w:rFonts w:hint="eastAsia" w:ascii="仿宋_GB2312" w:eastAsia="仿宋_GB2312"/>
          <w:color w:val="000000"/>
          <w:sz w:val="24"/>
        </w:rPr>
        <w:t>（三）交货要求</w:t>
      </w:r>
    </w:p>
    <w:p w14:paraId="4E7479C1">
      <w:pPr>
        <w:autoSpaceDE w:val="0"/>
        <w:autoSpaceDN w:val="0"/>
        <w:adjustRightInd w:val="0"/>
        <w:spacing w:line="360" w:lineRule="auto"/>
        <w:ind w:firstLine="480" w:firstLineChars="200"/>
        <w:rPr>
          <w:rFonts w:ascii="仿宋_GB2312" w:eastAsia="仿宋_GB2312"/>
          <w:color w:val="000000"/>
          <w:sz w:val="24"/>
        </w:rPr>
      </w:pPr>
      <w:r>
        <w:rPr>
          <w:rFonts w:hint="eastAsia" w:ascii="仿宋_GB2312" w:eastAsia="仿宋_GB2312"/>
          <w:color w:val="000000"/>
          <w:sz w:val="24"/>
        </w:rPr>
        <w:t>1. 交货期：签订合同之日起30日内交付使用（特殊情况以合同为准）。</w:t>
      </w:r>
    </w:p>
    <w:p w14:paraId="2856833D">
      <w:pPr>
        <w:autoSpaceDE w:val="0"/>
        <w:autoSpaceDN w:val="0"/>
        <w:spacing w:line="360" w:lineRule="auto"/>
        <w:ind w:firstLine="480" w:firstLineChars="200"/>
        <w:rPr>
          <w:rFonts w:hint="eastAsia" w:ascii="仿宋_GB2312" w:eastAsia="仿宋_GB2312"/>
          <w:color w:val="000000"/>
          <w:sz w:val="24"/>
        </w:rPr>
      </w:pPr>
      <w:r>
        <w:rPr>
          <w:rFonts w:hint="eastAsia" w:ascii="仿宋_GB2312" w:eastAsia="仿宋_GB2312"/>
          <w:color w:val="000000"/>
          <w:sz w:val="24"/>
        </w:rPr>
        <w:t>2. 交货地点：中共天津市委党校</w:t>
      </w:r>
    </w:p>
    <w:p w14:paraId="2797DA1A">
      <w:pPr>
        <w:autoSpaceDE w:val="0"/>
        <w:autoSpaceDN w:val="0"/>
        <w:adjustRightInd w:val="0"/>
        <w:spacing w:line="360" w:lineRule="auto"/>
        <w:ind w:firstLine="480" w:firstLineChars="200"/>
        <w:rPr>
          <w:rFonts w:ascii="仿宋_GB2312" w:eastAsia="仿宋_GB2312"/>
          <w:color w:val="000000"/>
          <w:sz w:val="24"/>
        </w:rPr>
      </w:pPr>
      <w:r>
        <w:rPr>
          <w:rFonts w:hint="eastAsia" w:ascii="仿宋_GB2312" w:eastAsia="仿宋_GB2312"/>
          <w:color w:val="000000"/>
          <w:sz w:val="24"/>
        </w:rPr>
        <w:t>3. 提供制造商完整的随机资料，包括完整的使用和维修手册等。</w:t>
      </w:r>
    </w:p>
    <w:p w14:paraId="5ED290BC">
      <w:pPr>
        <w:autoSpaceDE w:val="0"/>
        <w:autoSpaceDN w:val="0"/>
        <w:adjustRightInd w:val="0"/>
        <w:spacing w:line="360" w:lineRule="auto"/>
        <w:ind w:firstLine="480" w:firstLineChars="200"/>
        <w:rPr>
          <w:rFonts w:ascii="仿宋_GB2312" w:eastAsia="仿宋_GB2312"/>
          <w:color w:val="000000"/>
          <w:sz w:val="24"/>
        </w:rPr>
      </w:pPr>
      <w:r>
        <w:rPr>
          <w:rFonts w:hint="eastAsia" w:ascii="仿宋_GB2312" w:eastAsia="仿宋_GB2312"/>
          <w:color w:val="000000"/>
          <w:sz w:val="24"/>
        </w:rPr>
        <w:t>4. 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2425143A">
      <w:pPr>
        <w:autoSpaceDE w:val="0"/>
        <w:autoSpaceDN w:val="0"/>
        <w:spacing w:line="360" w:lineRule="auto"/>
        <w:ind w:firstLine="480" w:firstLineChars="200"/>
        <w:rPr>
          <w:rFonts w:ascii="仿宋_GB2312" w:eastAsia="仿宋_GB2312"/>
          <w:color w:val="000000"/>
          <w:sz w:val="24"/>
        </w:rPr>
      </w:pPr>
      <w:r>
        <w:rPr>
          <w:rFonts w:hint="eastAsia" w:ascii="仿宋_GB2312" w:eastAsia="仿宋_GB2312"/>
          <w:color w:val="000000"/>
          <w:sz w:val="24"/>
        </w:rPr>
        <w:t>5.</w:t>
      </w:r>
      <w:r>
        <w:rPr>
          <w:rFonts w:hint="eastAsia" w:ascii="仿宋_GB2312" w:eastAsia="仿宋_GB2312"/>
          <w:color w:val="000000"/>
          <w:sz w:val="24"/>
          <w:lang w:val="zh-TW"/>
        </w:rPr>
        <w:t>包装和运输要求：</w:t>
      </w:r>
      <w:r>
        <w:rPr>
          <w:rFonts w:hint="eastAsia" w:ascii="仿宋_GB2312" w:eastAsia="仿宋_GB2312"/>
          <w:color w:val="000000"/>
          <w:sz w:val="24"/>
        </w:rPr>
        <w:t>货物的包装和发运必须符合货物特性要求。为了保证货物在长途运输和装卸过程中的安全，货物包装应符合国家或行业标准规定。由于包装不善导致货物锈蚀、失缺或损坏，由供货商承担一切责任。</w:t>
      </w:r>
    </w:p>
    <w:p w14:paraId="1E48ED96">
      <w:pPr>
        <w:autoSpaceDE w:val="0"/>
        <w:autoSpaceDN w:val="0"/>
        <w:adjustRightInd w:val="0"/>
        <w:spacing w:line="360" w:lineRule="auto"/>
        <w:ind w:firstLine="480" w:firstLineChars="200"/>
        <w:rPr>
          <w:rFonts w:ascii="仿宋_GB2312" w:eastAsia="仿宋_GB2312"/>
          <w:color w:val="000000"/>
          <w:sz w:val="24"/>
        </w:rPr>
      </w:pPr>
      <w:r>
        <w:rPr>
          <w:rFonts w:hint="eastAsia" w:ascii="仿宋_GB2312" w:eastAsia="仿宋_GB2312"/>
          <w:color w:val="000000"/>
          <w:sz w:val="24"/>
        </w:rPr>
        <w:t>6.</w:t>
      </w:r>
      <w:r>
        <w:rPr>
          <w:rFonts w:hint="eastAsia" w:ascii="仿宋_GB2312" w:eastAsia="仿宋_GB2312"/>
          <w:color w:val="000000"/>
          <w:sz w:val="24"/>
          <w:lang w:val="zh-TW"/>
        </w:rPr>
        <w:t>保险服务要求：</w:t>
      </w:r>
      <w:r>
        <w:rPr>
          <w:rFonts w:hint="eastAsia" w:ascii="仿宋_GB2312" w:eastAsia="仿宋_GB2312"/>
          <w:color w:val="000000"/>
          <w:sz w:val="24"/>
        </w:rPr>
        <w:t>为了保证施工周期货物在运输途中供应商应提供保险服务，确保货物在运输途中出现问题，供应商可以第一时间得到设备的更换。</w:t>
      </w:r>
    </w:p>
    <w:p w14:paraId="0B48DB68">
      <w:pPr>
        <w:autoSpaceDE w:val="0"/>
        <w:autoSpaceDN w:val="0"/>
        <w:adjustRightInd w:val="0"/>
        <w:spacing w:line="360" w:lineRule="auto"/>
        <w:ind w:firstLine="480" w:firstLineChars="200"/>
        <w:rPr>
          <w:rFonts w:ascii="仿宋_GB2312" w:eastAsia="仿宋_GB2312"/>
          <w:color w:val="000000"/>
          <w:sz w:val="24"/>
        </w:rPr>
      </w:pPr>
      <w:r>
        <w:rPr>
          <w:rFonts w:hint="eastAsia" w:ascii="仿宋_GB2312" w:eastAsia="仿宋_GB2312"/>
          <w:color w:val="000000"/>
          <w:sz w:val="24"/>
        </w:rPr>
        <w:t>★（四）付款方式</w:t>
      </w:r>
    </w:p>
    <w:p w14:paraId="7ED9CF4C">
      <w:pPr>
        <w:autoSpaceDE w:val="0"/>
        <w:autoSpaceDN w:val="0"/>
        <w:spacing w:line="360" w:lineRule="auto"/>
        <w:ind w:firstLine="480" w:firstLineChars="200"/>
        <w:rPr>
          <w:rFonts w:hint="eastAsia" w:ascii="仿宋_GB2312" w:eastAsia="仿宋_GB2312"/>
          <w:color w:val="000000"/>
          <w:sz w:val="24"/>
        </w:rPr>
      </w:pPr>
      <w:r>
        <w:rPr>
          <w:rFonts w:hint="eastAsia" w:ascii="仿宋_GB2312" w:eastAsia="仿宋_GB2312"/>
          <w:color w:val="000000"/>
          <w:sz w:val="24"/>
        </w:rPr>
        <w:t>签订合同后10个工作日内预付合同总额的30%，货到现场安装、调试完毕，所有设备使用无质量问题，经甲方组织验收合格，待上级资金拨付到位后30日内支付合同总额的70%(特殊情况以合同为准)。</w:t>
      </w:r>
    </w:p>
    <w:p w14:paraId="0B5DABFD">
      <w:pPr>
        <w:autoSpaceDE w:val="0"/>
        <w:autoSpaceDN w:val="0"/>
        <w:spacing w:line="360" w:lineRule="auto"/>
        <w:ind w:firstLine="482" w:firstLineChars="200"/>
        <w:rPr>
          <w:b/>
          <w:sz w:val="24"/>
        </w:rPr>
      </w:pPr>
      <w:r>
        <w:rPr>
          <w:rFonts w:hint="eastAsia"/>
          <w:b/>
          <w:sz w:val="24"/>
        </w:rPr>
        <w:t>六、验收标准</w:t>
      </w:r>
    </w:p>
    <w:p w14:paraId="01836ECF">
      <w:pPr>
        <w:autoSpaceDE w:val="0"/>
        <w:autoSpaceDN w:val="0"/>
        <w:spacing w:line="360" w:lineRule="auto"/>
        <w:ind w:firstLine="480" w:firstLineChars="200"/>
        <w:rPr>
          <w:rFonts w:hint="eastAsia" w:ascii="仿宋_GB2312" w:eastAsia="仿宋_GB2312"/>
          <w:color w:val="000000"/>
          <w:sz w:val="24"/>
        </w:rPr>
      </w:pPr>
      <w:r>
        <w:rPr>
          <w:rFonts w:hint="eastAsia" w:ascii="仿宋_GB2312" w:eastAsia="仿宋_GB2312"/>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44073DCD">
      <w:pPr>
        <w:spacing w:line="360" w:lineRule="auto"/>
        <w:ind w:firstLine="480" w:firstLineChars="200"/>
        <w:outlineLvl w:val="0"/>
        <w:rPr>
          <w:rFonts w:ascii="仿宋_GB2312" w:eastAsia="仿宋_GB2312"/>
          <w:color w:val="000000"/>
          <w:sz w:val="24"/>
          <w:highlight w:val="yellow"/>
          <w:lang w:val="zh-TW"/>
        </w:rPr>
      </w:pPr>
    </w:p>
    <w:p w14:paraId="734B8E4F">
      <w:pPr>
        <w:spacing w:line="360" w:lineRule="auto"/>
        <w:ind w:firstLine="482" w:firstLineChars="200"/>
        <w:outlineLvl w:val="0"/>
        <w:rPr>
          <w:rFonts w:ascii="Times New Roman" w:hAnsi="Times New Roman"/>
        </w:rPr>
        <w:sectPr>
          <w:headerReference r:id="rId3" w:type="default"/>
          <w:footerReference r:id="rId4" w:type="default"/>
          <w:pgSz w:w="11906" w:h="16838"/>
          <w:pgMar w:top="1440" w:right="1800" w:bottom="1440" w:left="1800" w:header="851" w:footer="992" w:gutter="0"/>
          <w:cols w:space="720" w:num="1"/>
          <w:docGrid w:type="lines" w:linePitch="312" w:charSpace="0"/>
        </w:sectPr>
      </w:pPr>
      <w:r>
        <w:rPr>
          <w:rFonts w:hint="eastAsia"/>
          <w:b/>
          <w:sz w:val="24"/>
        </w:rPr>
        <w:t>七、其他要求</w:t>
      </w:r>
      <w:bookmarkEnd w:id="1"/>
      <w:bookmarkEnd w:id="2"/>
      <w:bookmarkEnd w:id="3"/>
      <w:bookmarkEnd w:id="4"/>
    </w:p>
    <w:bookmarkEnd w:id="0"/>
    <w:p w14:paraId="79BAE6F7"/>
    <w:sectPr>
      <w:head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仿宋_GB2312"/>
    <w:panose1 w:val="00000000000000000000"/>
    <w:charset w:val="86"/>
    <w:family w:val="roman"/>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C6B16">
    <w:pPr>
      <w:pStyle w:val="2"/>
      <w:jc w:val="center"/>
    </w:pPr>
    <w:r>
      <w:fldChar w:fldCharType="begin"/>
    </w:r>
    <w:r>
      <w:instrText xml:space="preserve"> PAGE   \* MERGEFORMAT </w:instrText>
    </w:r>
    <w:r>
      <w:fldChar w:fldCharType="separate"/>
    </w:r>
    <w:r>
      <w:t>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68BD0">
    <w:pPr>
      <w:pStyle w:val="3"/>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321B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D82934"/>
    <w:rsid w:val="11F72C0D"/>
    <w:rsid w:val="27414EE3"/>
    <w:rsid w:val="45367836"/>
    <w:rsid w:val="50DD75B9"/>
    <w:rsid w:val="52FD6D7C"/>
    <w:rsid w:val="54D82934"/>
    <w:rsid w:val="563418A4"/>
    <w:rsid w:val="5A02608E"/>
    <w:rsid w:val="614D77B2"/>
    <w:rsid w:val="63C6135F"/>
    <w:rsid w:val="6FB6110E"/>
    <w:rsid w:val="77D36549"/>
    <w:rsid w:val="7A35126F"/>
    <w:rsid w:val="7CFA01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kern w:val="0"/>
      <w:sz w:val="18"/>
      <w:szCs w:val="18"/>
      <w:lang w:val="zh-CN" w:eastAsia="zh-CN"/>
    </w:rPr>
  </w:style>
  <w:style w:type="paragraph" w:styleId="3">
    <w:name w:val="header"/>
    <w:basedOn w:val="1"/>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4">
    <w:name w:val="Subtitle"/>
    <w:basedOn w:val="1"/>
    <w:next w:val="1"/>
    <w:qFormat/>
    <w:uiPriority w:val="11"/>
    <w:pPr>
      <w:spacing w:before="240" w:after="60" w:line="312" w:lineRule="auto"/>
      <w:jc w:val="center"/>
      <w:outlineLvl w:val="1"/>
    </w:pPr>
    <w:rPr>
      <w:rFonts w:ascii="Cambria" w:hAnsi="Cambria"/>
      <w:b/>
      <w:bCs/>
      <w:kern w:val="28"/>
      <w:sz w:val="32"/>
      <w:szCs w:val="32"/>
      <w:lang w:val="zh-CN" w:eastAsia="zh-CN"/>
    </w:rPr>
  </w:style>
  <w:style w:type="paragraph" w:customStyle="1" w:styleId="7">
    <w:name w:val="Default"/>
    <w:qFormat/>
    <w:uiPriority w:val="0"/>
    <w:pPr>
      <w:widowControl w:val="0"/>
      <w:autoSpaceDE w:val="0"/>
      <w:autoSpaceDN w:val="0"/>
      <w:adjustRightInd w:val="0"/>
    </w:pPr>
    <w:rPr>
      <w:rFonts w:ascii="......." w:hAnsi="......." w:eastAsia="......." w:cs="......."/>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1625</Words>
  <Characters>1853</Characters>
  <Lines>0</Lines>
  <Paragraphs>0</Paragraphs>
  <TotalTime>2</TotalTime>
  <ScaleCrop>false</ScaleCrop>
  <LinksUpToDate>false</LinksUpToDate>
  <CharactersWithSpaces>1891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2026-09-05T07:10:00Z</dcterms:created>
  <dc:creator>赵晨</dc:creator>
  <cp:lastModifiedBy>赵晨</cp:lastModifiedBy>
  <cp:lastPrinted>2026-10-12T06:53:19Z</cp:lastPrinted>
  <dcterms:modified xsi:type="dcterms:W3CDTF">2026-10-12T06:53:23Z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5AA5A7EDF01FF7169556C86AC2F46AFF_43</vt:lpwstr>
  </property>
  <property fmtid="{D5CDD505-2E9C-101B-9397-08002B2CF9AE}" pid="4" name="KSOTemplateDocerSaveRecord">
    <vt:lpwstr>eyJoZGlkIjoiODRjMzk0ZGRhODExNjM5MWJjZDc3YjJhMjRiMGQzODYiLCJ1c2VySWQiOiIxNzAzNTI3ODQ0In0=</vt:lpwstr>
  </property>
</Properties>
</file>